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14137C" w14:paraId="2A131A54" w14:textId="77777777" w:rsidTr="0013122B">
        <w:trPr>
          <w:trHeight w:val="852"/>
          <w:jc w:val="center"/>
        </w:trPr>
        <w:tc>
          <w:tcPr>
            <w:tcW w:w="6940" w:type="dxa"/>
            <w:vMerge w:val="restart"/>
            <w:tcBorders>
              <w:right w:val="single" w:sz="4" w:space="0" w:color="auto"/>
            </w:tcBorders>
          </w:tcPr>
          <w:p w14:paraId="38C3D2BA" w14:textId="77777777" w:rsidR="000A03B2" w:rsidRPr="0014137C" w:rsidRDefault="000A03B2" w:rsidP="00DE264A">
            <w:pPr>
              <w:tabs>
                <w:tab w:val="left" w:pos="-108"/>
              </w:tabs>
              <w:ind w:left="-108"/>
              <w:jc w:val="left"/>
              <w:rPr>
                <w:rFonts w:cs="Arial"/>
                <w:b/>
                <w:bCs/>
                <w:i/>
                <w:iCs/>
                <w:color w:val="000066"/>
                <w:sz w:val="12"/>
                <w:szCs w:val="12"/>
                <w:lang w:eastAsia="it-IT"/>
              </w:rPr>
            </w:pPr>
            <w:bookmarkStart w:id="0" w:name="_Hlk145068772"/>
            <w:bookmarkStart w:id="1" w:name="_GoBack"/>
            <w:bookmarkEnd w:id="1"/>
            <w:r w:rsidRPr="0014137C">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14137C">
              <w:rPr>
                <w:rFonts w:ascii="AdvP6960" w:hAnsi="AdvP6960" w:cs="AdvP6960"/>
                <w:color w:val="241F20"/>
                <w:szCs w:val="18"/>
                <w:lang w:eastAsia="it-IT"/>
              </w:rPr>
              <w:t xml:space="preserve"> </w:t>
            </w:r>
            <w:r w:rsidRPr="0014137C">
              <w:rPr>
                <w:rFonts w:cs="Arial"/>
                <w:b/>
                <w:bCs/>
                <w:i/>
                <w:iCs/>
                <w:color w:val="000066"/>
                <w:sz w:val="24"/>
                <w:szCs w:val="24"/>
                <w:lang w:eastAsia="it-IT"/>
              </w:rPr>
              <w:t>CHEMICAL ENGINEERING</w:t>
            </w:r>
            <w:r w:rsidRPr="0014137C">
              <w:rPr>
                <w:rFonts w:cs="Arial"/>
                <w:b/>
                <w:bCs/>
                <w:i/>
                <w:iCs/>
                <w:color w:val="0033FF"/>
                <w:sz w:val="24"/>
                <w:szCs w:val="24"/>
                <w:lang w:eastAsia="it-IT"/>
              </w:rPr>
              <w:t xml:space="preserve"> </w:t>
            </w:r>
            <w:r w:rsidRPr="0014137C">
              <w:rPr>
                <w:rFonts w:cs="Arial"/>
                <w:b/>
                <w:bCs/>
                <w:i/>
                <w:iCs/>
                <w:color w:val="666666"/>
                <w:sz w:val="24"/>
                <w:szCs w:val="24"/>
                <w:lang w:eastAsia="it-IT"/>
              </w:rPr>
              <w:t>TRANSACTIONS</w:t>
            </w:r>
            <w:r w:rsidRPr="0014137C">
              <w:rPr>
                <w:color w:val="333333"/>
                <w:sz w:val="24"/>
                <w:szCs w:val="24"/>
                <w:lang w:eastAsia="it-IT"/>
              </w:rPr>
              <w:t xml:space="preserve"> </w:t>
            </w:r>
            <w:r w:rsidRPr="0014137C">
              <w:rPr>
                <w:rFonts w:cs="Arial"/>
                <w:b/>
                <w:bCs/>
                <w:i/>
                <w:iCs/>
                <w:color w:val="000066"/>
                <w:sz w:val="27"/>
                <w:szCs w:val="27"/>
                <w:lang w:eastAsia="it-IT"/>
              </w:rPr>
              <w:br/>
            </w:r>
          </w:p>
          <w:p w14:paraId="4B780582" w14:textId="753620B8" w:rsidR="000A03B2" w:rsidRPr="0014137C" w:rsidRDefault="00A76EFC" w:rsidP="001D21AF">
            <w:pPr>
              <w:tabs>
                <w:tab w:val="left" w:pos="-108"/>
              </w:tabs>
              <w:ind w:left="-108"/>
              <w:rPr>
                <w:rFonts w:cs="Arial"/>
                <w:b/>
                <w:bCs/>
                <w:i/>
                <w:iCs/>
                <w:color w:val="000066"/>
                <w:sz w:val="22"/>
                <w:szCs w:val="22"/>
                <w:lang w:eastAsia="it-IT"/>
              </w:rPr>
            </w:pPr>
            <w:r w:rsidRPr="0014137C">
              <w:rPr>
                <w:rFonts w:cs="Arial"/>
                <w:b/>
                <w:bCs/>
                <w:i/>
                <w:iCs/>
                <w:color w:val="000066"/>
                <w:sz w:val="22"/>
                <w:szCs w:val="22"/>
                <w:lang w:eastAsia="it-IT"/>
              </w:rPr>
              <w:t>VOL.</w:t>
            </w:r>
            <w:r w:rsidR="00785BF9" w:rsidRPr="0014137C">
              <w:rPr>
                <w:rFonts w:cs="Arial"/>
                <w:b/>
                <w:bCs/>
                <w:i/>
                <w:iCs/>
                <w:color w:val="000066"/>
                <w:sz w:val="22"/>
                <w:szCs w:val="22"/>
                <w:lang w:eastAsia="it-IT"/>
              </w:rPr>
              <w:t xml:space="preserve"> </w:t>
            </w:r>
            <w:r w:rsidR="00AD0278" w:rsidRPr="0014137C">
              <w:rPr>
                <w:rFonts w:cs="Arial"/>
                <w:b/>
                <w:bCs/>
                <w:i/>
                <w:iCs/>
                <w:color w:val="000066"/>
                <w:sz w:val="22"/>
                <w:szCs w:val="22"/>
                <w:lang w:eastAsia="it-IT"/>
              </w:rPr>
              <w:t>xxx</w:t>
            </w:r>
            <w:r w:rsidR="007B48F9" w:rsidRPr="0014137C">
              <w:rPr>
                <w:rFonts w:cs="Arial"/>
                <w:b/>
                <w:bCs/>
                <w:i/>
                <w:iCs/>
                <w:color w:val="000066"/>
                <w:sz w:val="22"/>
                <w:szCs w:val="22"/>
                <w:lang w:eastAsia="it-IT"/>
              </w:rPr>
              <w:t>,</w:t>
            </w:r>
            <w:r w:rsidR="00FA5F5F" w:rsidRPr="0014137C">
              <w:rPr>
                <w:rFonts w:cs="Arial"/>
                <w:b/>
                <w:bCs/>
                <w:i/>
                <w:iCs/>
                <w:color w:val="000066"/>
                <w:sz w:val="22"/>
                <w:szCs w:val="22"/>
                <w:lang w:eastAsia="it-IT"/>
              </w:rPr>
              <w:t xml:space="preserve"> </w:t>
            </w:r>
            <w:r w:rsidR="0030152C" w:rsidRPr="0014137C">
              <w:rPr>
                <w:rFonts w:cs="Arial"/>
                <w:b/>
                <w:bCs/>
                <w:i/>
                <w:iCs/>
                <w:color w:val="000066"/>
                <w:sz w:val="22"/>
                <w:szCs w:val="22"/>
                <w:lang w:eastAsia="it-IT"/>
              </w:rPr>
              <w:t>202</w:t>
            </w:r>
            <w:r w:rsidR="00AD0278" w:rsidRPr="0014137C">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14137C" w:rsidRDefault="000A03B2" w:rsidP="00CD5FE2">
            <w:pPr>
              <w:spacing w:line="140" w:lineRule="atLeast"/>
              <w:jc w:val="right"/>
              <w:rPr>
                <w:rFonts w:cs="Arial"/>
                <w:sz w:val="14"/>
                <w:szCs w:val="14"/>
              </w:rPr>
            </w:pPr>
            <w:r w:rsidRPr="0014137C">
              <w:rPr>
                <w:rFonts w:cs="Arial"/>
                <w:sz w:val="14"/>
                <w:szCs w:val="14"/>
              </w:rPr>
              <w:t>A publication of</w:t>
            </w:r>
          </w:p>
          <w:p w14:paraId="599E5441" w14:textId="77777777" w:rsidR="000A03B2" w:rsidRPr="0014137C" w:rsidRDefault="000A03B2" w:rsidP="00CD5FE2">
            <w:pPr>
              <w:jc w:val="right"/>
            </w:pPr>
            <w:r w:rsidRPr="0014137C">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14137C" w14:paraId="380FA3CD" w14:textId="77777777" w:rsidTr="0013122B">
        <w:trPr>
          <w:trHeight w:val="567"/>
          <w:jc w:val="center"/>
        </w:trPr>
        <w:tc>
          <w:tcPr>
            <w:tcW w:w="6940" w:type="dxa"/>
            <w:vMerge/>
            <w:tcBorders>
              <w:right w:val="single" w:sz="4" w:space="0" w:color="auto"/>
            </w:tcBorders>
          </w:tcPr>
          <w:p w14:paraId="39E5E4C1" w14:textId="77777777" w:rsidR="000A03B2" w:rsidRPr="0014137C"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14137C" w:rsidRDefault="000A03B2" w:rsidP="00CD5FE2">
            <w:pPr>
              <w:spacing w:line="140" w:lineRule="atLeast"/>
              <w:jc w:val="right"/>
              <w:rPr>
                <w:rFonts w:cs="Arial"/>
                <w:sz w:val="14"/>
                <w:szCs w:val="14"/>
              </w:rPr>
            </w:pPr>
            <w:r w:rsidRPr="0014137C">
              <w:rPr>
                <w:rFonts w:cs="Arial"/>
                <w:sz w:val="14"/>
                <w:szCs w:val="14"/>
              </w:rPr>
              <w:t>The Italian Association</w:t>
            </w:r>
          </w:p>
          <w:p w14:paraId="7522B1D2" w14:textId="77777777" w:rsidR="000A03B2" w:rsidRPr="0014137C" w:rsidRDefault="000A03B2" w:rsidP="00CD5FE2">
            <w:pPr>
              <w:spacing w:line="140" w:lineRule="atLeast"/>
              <w:jc w:val="right"/>
              <w:rPr>
                <w:rFonts w:cs="Arial"/>
                <w:sz w:val="14"/>
                <w:szCs w:val="14"/>
              </w:rPr>
            </w:pPr>
            <w:r w:rsidRPr="0014137C">
              <w:rPr>
                <w:rFonts w:cs="Arial"/>
                <w:sz w:val="14"/>
                <w:szCs w:val="14"/>
              </w:rPr>
              <w:t>of Chemical Engineering</w:t>
            </w:r>
          </w:p>
          <w:p w14:paraId="4F0CC5DE" w14:textId="47FDB2FC" w:rsidR="000A03B2" w:rsidRPr="0014137C" w:rsidRDefault="000D0268" w:rsidP="00CD5FE2">
            <w:pPr>
              <w:spacing w:line="140" w:lineRule="atLeast"/>
              <w:jc w:val="right"/>
              <w:rPr>
                <w:rFonts w:cs="Arial"/>
                <w:sz w:val="13"/>
                <w:szCs w:val="13"/>
              </w:rPr>
            </w:pPr>
            <w:r w:rsidRPr="0014137C">
              <w:rPr>
                <w:rFonts w:cs="Arial"/>
                <w:sz w:val="13"/>
                <w:szCs w:val="13"/>
              </w:rPr>
              <w:t>Online at www.cetjournal.it</w:t>
            </w:r>
          </w:p>
        </w:tc>
      </w:tr>
      <w:tr w:rsidR="000A03B2" w:rsidRPr="0014137C" w14:paraId="2D1B7169" w14:textId="77777777" w:rsidTr="0013122B">
        <w:trPr>
          <w:trHeight w:val="68"/>
          <w:jc w:val="center"/>
        </w:trPr>
        <w:tc>
          <w:tcPr>
            <w:tcW w:w="8782" w:type="dxa"/>
            <w:gridSpan w:val="2"/>
          </w:tcPr>
          <w:p w14:paraId="1D8DD3C9" w14:textId="61229B97" w:rsidR="00AA7D26" w:rsidRPr="0014137C" w:rsidRDefault="004A5E57" w:rsidP="004A5E57">
            <w:pPr>
              <w:ind w:left="-107"/>
              <w:outlineLvl w:val="2"/>
              <w:rPr>
                <w:rFonts w:ascii="Tahoma" w:hAnsi="Tahoma" w:cs="Tahoma"/>
                <w:bCs/>
                <w:color w:val="000000"/>
                <w:sz w:val="14"/>
                <w:szCs w:val="14"/>
                <w:lang w:val="it-IT" w:eastAsia="it-IT"/>
              </w:rPr>
            </w:pPr>
            <w:r w:rsidRPr="0014137C">
              <w:rPr>
                <w:rFonts w:ascii="Tahoma" w:hAnsi="Tahoma" w:cs="Tahoma"/>
                <w:iCs/>
                <w:color w:val="333333"/>
                <w:sz w:val="14"/>
                <w:szCs w:val="14"/>
                <w:lang w:val="it-IT" w:eastAsia="it-IT"/>
              </w:rPr>
              <w:t>Guest Editors:</w:t>
            </w:r>
            <w:r w:rsidRPr="0014137C">
              <w:rPr>
                <w:rFonts w:ascii="Tahoma" w:hAnsi="Tahoma" w:cs="Tahoma"/>
                <w:color w:val="000000"/>
                <w:sz w:val="14"/>
                <w:szCs w:val="14"/>
                <w:shd w:val="clear" w:color="auto" w:fill="FFFFFF"/>
                <w:lang w:val="it-IT"/>
              </w:rPr>
              <w:t xml:space="preserve"> </w:t>
            </w:r>
            <w:r w:rsidR="00EA3EF9" w:rsidRPr="0014137C">
              <w:rPr>
                <w:rFonts w:ascii="Tahoma" w:hAnsi="Tahoma" w:cs="Tahoma"/>
                <w:color w:val="000000"/>
                <w:sz w:val="14"/>
                <w:szCs w:val="14"/>
                <w:shd w:val="clear" w:color="auto" w:fill="FFFFFF"/>
                <w:lang w:val="it-IT"/>
              </w:rPr>
              <w:t xml:space="preserve">Leonardo Tognotti, </w:t>
            </w:r>
            <w:r w:rsidR="00EA3EF9" w:rsidRPr="0014137C">
              <w:rPr>
                <w:rFonts w:ascii="Tahoma" w:hAnsi="Tahoma" w:cs="Tahoma"/>
                <w:color w:val="000000"/>
                <w:sz w:val="14"/>
                <w:szCs w:val="14"/>
                <w:lang w:val="it-IT"/>
              </w:rPr>
              <w:t>Rubens Maciel Filho</w:t>
            </w:r>
            <w:r w:rsidR="00EA3EF9" w:rsidRPr="0014137C">
              <w:rPr>
                <w:rFonts w:ascii="Tahoma" w:hAnsi="Tahoma" w:cs="Tahoma"/>
                <w:color w:val="000000"/>
                <w:sz w:val="14"/>
                <w:szCs w:val="14"/>
                <w:shd w:val="clear" w:color="auto" w:fill="FFFFFF"/>
                <w:lang w:val="it-IT"/>
              </w:rPr>
              <w:t xml:space="preserve">, </w:t>
            </w:r>
            <w:r w:rsidR="00EA3EF9" w:rsidRPr="0014137C">
              <w:rPr>
                <w:rFonts w:ascii="Tahoma" w:hAnsi="Tahoma" w:cs="Tahoma"/>
                <w:color w:val="000000"/>
                <w:sz w:val="14"/>
                <w:szCs w:val="14"/>
                <w:lang w:val="it-IT"/>
              </w:rPr>
              <w:t>Viatcheslav Kafarov</w:t>
            </w:r>
          </w:p>
          <w:p w14:paraId="1B0F1814" w14:textId="710B7B96" w:rsidR="000A03B2" w:rsidRPr="0014137C" w:rsidRDefault="00AA7D26" w:rsidP="00AA7D26">
            <w:pPr>
              <w:tabs>
                <w:tab w:val="left" w:pos="-108"/>
              </w:tabs>
              <w:spacing w:line="140" w:lineRule="atLeast"/>
              <w:ind w:left="-107"/>
              <w:jc w:val="left"/>
            </w:pPr>
            <w:r w:rsidRPr="0014137C">
              <w:rPr>
                <w:rFonts w:ascii="Tahoma" w:hAnsi="Tahoma" w:cs="Tahoma"/>
                <w:iCs/>
                <w:color w:val="333333"/>
                <w:sz w:val="14"/>
                <w:szCs w:val="14"/>
                <w:lang w:eastAsia="it-IT"/>
              </w:rPr>
              <w:t>Copyright © 202</w:t>
            </w:r>
            <w:r w:rsidR="00005884" w:rsidRPr="0014137C">
              <w:rPr>
                <w:rFonts w:ascii="Tahoma" w:hAnsi="Tahoma" w:cs="Tahoma"/>
                <w:iCs/>
                <w:color w:val="333333"/>
                <w:sz w:val="14"/>
                <w:szCs w:val="14"/>
                <w:lang w:eastAsia="it-IT"/>
              </w:rPr>
              <w:t>6</w:t>
            </w:r>
            <w:r w:rsidRPr="0014137C">
              <w:rPr>
                <w:rFonts w:ascii="Tahoma" w:hAnsi="Tahoma" w:cs="Tahoma"/>
                <w:iCs/>
                <w:color w:val="333333"/>
                <w:sz w:val="14"/>
                <w:szCs w:val="14"/>
                <w:lang w:eastAsia="it-IT"/>
              </w:rPr>
              <w:t>, AIDIC Servizi S.r.l.</w:t>
            </w:r>
            <w:r w:rsidRPr="0014137C">
              <w:rPr>
                <w:rFonts w:ascii="Tahoma" w:hAnsi="Tahoma" w:cs="Tahoma"/>
                <w:iCs/>
                <w:color w:val="333333"/>
                <w:sz w:val="14"/>
                <w:szCs w:val="14"/>
                <w:lang w:eastAsia="it-IT"/>
              </w:rPr>
              <w:br/>
            </w:r>
            <w:r w:rsidRPr="0014137C">
              <w:rPr>
                <w:rFonts w:ascii="Tahoma" w:hAnsi="Tahoma" w:cs="Tahoma"/>
                <w:b/>
                <w:iCs/>
                <w:color w:val="000000"/>
                <w:sz w:val="14"/>
                <w:szCs w:val="14"/>
                <w:lang w:eastAsia="it-IT"/>
              </w:rPr>
              <w:t>ISBN</w:t>
            </w:r>
            <w:r w:rsidRPr="0014137C">
              <w:rPr>
                <w:rFonts w:ascii="Tahoma" w:hAnsi="Tahoma" w:cs="Tahoma"/>
                <w:iCs/>
                <w:color w:val="000000"/>
                <w:sz w:val="14"/>
                <w:szCs w:val="14"/>
                <w:lang w:eastAsia="it-IT"/>
              </w:rPr>
              <w:t xml:space="preserve"> </w:t>
            </w:r>
            <w:r w:rsidR="00D2582C" w:rsidRPr="0014137C">
              <w:rPr>
                <w:rFonts w:ascii="Tahoma" w:hAnsi="Tahoma" w:cs="Tahoma"/>
                <w:sz w:val="14"/>
                <w:szCs w:val="14"/>
              </w:rPr>
              <w:t>979-12-81206-</w:t>
            </w:r>
            <w:r w:rsidR="00005884" w:rsidRPr="0014137C">
              <w:rPr>
                <w:rFonts w:ascii="Tahoma" w:hAnsi="Tahoma" w:cs="Tahoma"/>
                <w:sz w:val="14"/>
                <w:szCs w:val="14"/>
              </w:rPr>
              <w:t>xx</w:t>
            </w:r>
            <w:r w:rsidR="009041F8" w:rsidRPr="0014137C">
              <w:rPr>
                <w:rFonts w:ascii="Tahoma" w:hAnsi="Tahoma" w:cs="Tahoma"/>
                <w:sz w:val="14"/>
                <w:szCs w:val="14"/>
              </w:rPr>
              <w:t>-</w:t>
            </w:r>
            <w:r w:rsidR="00005884" w:rsidRPr="0014137C">
              <w:rPr>
                <w:rFonts w:ascii="Tahoma" w:hAnsi="Tahoma" w:cs="Tahoma"/>
                <w:sz w:val="14"/>
                <w:szCs w:val="14"/>
              </w:rPr>
              <w:t>x</w:t>
            </w:r>
            <w:r w:rsidRPr="0014137C">
              <w:rPr>
                <w:rFonts w:ascii="Tahoma" w:hAnsi="Tahoma" w:cs="Tahoma"/>
                <w:iCs/>
                <w:color w:val="333333"/>
                <w:sz w:val="14"/>
                <w:szCs w:val="14"/>
                <w:lang w:eastAsia="it-IT"/>
              </w:rPr>
              <w:t xml:space="preserve">; </w:t>
            </w:r>
            <w:r w:rsidRPr="0014137C">
              <w:rPr>
                <w:rFonts w:ascii="Tahoma" w:hAnsi="Tahoma" w:cs="Tahoma"/>
                <w:b/>
                <w:iCs/>
                <w:color w:val="333333"/>
                <w:sz w:val="14"/>
                <w:szCs w:val="14"/>
                <w:lang w:eastAsia="it-IT"/>
              </w:rPr>
              <w:t>ISSN</w:t>
            </w:r>
            <w:r w:rsidRPr="0014137C">
              <w:rPr>
                <w:rFonts w:ascii="Tahoma" w:hAnsi="Tahoma" w:cs="Tahoma"/>
                <w:iCs/>
                <w:color w:val="333333"/>
                <w:sz w:val="14"/>
                <w:szCs w:val="14"/>
                <w:lang w:eastAsia="it-IT"/>
              </w:rPr>
              <w:t xml:space="preserve"> 2283-9216</w:t>
            </w:r>
          </w:p>
        </w:tc>
      </w:tr>
    </w:tbl>
    <w:bookmarkEnd w:id="0"/>
    <w:p w14:paraId="2E667253" w14:textId="6BA5475A" w:rsidR="00E978D0" w:rsidRPr="0014137C" w:rsidRDefault="0013122B" w:rsidP="00E978D0">
      <w:pPr>
        <w:pStyle w:val="CETTitle"/>
      </w:pPr>
      <w:r w:rsidRPr="0014137C">
        <w:t xml:space="preserve">Experimental and Thermodynamic Assessment of </w:t>
      </w:r>
      <w:r w:rsidRPr="0014137C">
        <w:rPr>
          <w:i/>
          <w:iCs/>
        </w:rPr>
        <w:t>Caryocar Brasiliense</w:t>
      </w:r>
      <w:r w:rsidRPr="0014137C">
        <w:t xml:space="preserve"> (Pequi) Stone for Hydrogen Production via Supercritical Water Gasification</w:t>
      </w:r>
    </w:p>
    <w:p w14:paraId="61EC1B41" w14:textId="28456B02" w:rsidR="009E2095" w:rsidRPr="0014137C" w:rsidRDefault="0013122B" w:rsidP="0013122B">
      <w:pPr>
        <w:pStyle w:val="CETAddress"/>
        <w:jc w:val="both"/>
        <w:rPr>
          <w:sz w:val="24"/>
          <w:lang w:val="pt-BR"/>
        </w:rPr>
      </w:pPr>
      <w:r w:rsidRPr="0014137C">
        <w:rPr>
          <w:sz w:val="24"/>
          <w:lang w:val="pt-BR"/>
        </w:rPr>
        <w:t>Maristella dos Santos Monteles</w:t>
      </w:r>
      <w:r w:rsidRPr="0014137C">
        <w:rPr>
          <w:sz w:val="24"/>
          <w:vertAlign w:val="superscript"/>
          <w:lang w:val="pt-BR"/>
        </w:rPr>
        <w:t>a</w:t>
      </w:r>
      <w:r w:rsidRPr="0014137C">
        <w:rPr>
          <w:sz w:val="24"/>
          <w:lang w:val="pt-BR"/>
        </w:rPr>
        <w:t>, Lucas Pinheiro dos Reis</w:t>
      </w:r>
      <w:r w:rsidRPr="0014137C">
        <w:rPr>
          <w:sz w:val="24"/>
          <w:vertAlign w:val="superscript"/>
          <w:lang w:val="pt-BR"/>
        </w:rPr>
        <w:t>a</w:t>
      </w:r>
      <w:r w:rsidRPr="0014137C">
        <w:rPr>
          <w:sz w:val="24"/>
          <w:lang w:val="pt-BR"/>
        </w:rPr>
        <w:t>, Diana Silva da Costa</w:t>
      </w:r>
      <w:r w:rsidRPr="0014137C">
        <w:rPr>
          <w:sz w:val="24"/>
          <w:vertAlign w:val="superscript"/>
          <w:lang w:val="pt-BR"/>
        </w:rPr>
        <w:t>a</w:t>
      </w:r>
      <w:r w:rsidRPr="0014137C">
        <w:rPr>
          <w:sz w:val="24"/>
          <w:lang w:val="pt-BR"/>
        </w:rPr>
        <w:t>, Julles Mitoura dos Santos Júnior</w:t>
      </w:r>
      <w:r w:rsidRPr="0014137C">
        <w:rPr>
          <w:sz w:val="24"/>
          <w:vertAlign w:val="superscript"/>
          <w:lang w:val="pt-BR"/>
        </w:rPr>
        <w:t>c</w:t>
      </w:r>
      <w:r w:rsidRPr="0014137C">
        <w:rPr>
          <w:sz w:val="24"/>
          <w:lang w:val="pt-BR"/>
        </w:rPr>
        <w:t>, Dennys Correia da Silva</w:t>
      </w:r>
      <w:r w:rsidRPr="0014137C">
        <w:rPr>
          <w:sz w:val="24"/>
          <w:vertAlign w:val="superscript"/>
          <w:lang w:val="pt-BR"/>
        </w:rPr>
        <w:t>a</w:t>
      </w:r>
      <w:r w:rsidRPr="0014137C">
        <w:rPr>
          <w:sz w:val="24"/>
          <w:lang w:val="pt-BR"/>
        </w:rPr>
        <w:t>, Thiago Vinícius Barros</w:t>
      </w:r>
      <w:r w:rsidRPr="0014137C">
        <w:rPr>
          <w:sz w:val="24"/>
          <w:vertAlign w:val="superscript"/>
          <w:lang w:val="pt-BR"/>
        </w:rPr>
        <w:t>b</w:t>
      </w:r>
      <w:r w:rsidRPr="0014137C">
        <w:rPr>
          <w:sz w:val="24"/>
          <w:lang w:val="pt-BR"/>
        </w:rPr>
        <w:t>, Annamaria Dória Souza Vidotti</w:t>
      </w:r>
      <w:r w:rsidRPr="0014137C">
        <w:rPr>
          <w:sz w:val="24"/>
          <w:vertAlign w:val="superscript"/>
          <w:lang w:val="pt-BR"/>
        </w:rPr>
        <w:t>a</w:t>
      </w:r>
      <w:r w:rsidRPr="0014137C">
        <w:rPr>
          <w:sz w:val="24"/>
          <w:lang w:val="pt-BR"/>
        </w:rPr>
        <w:t>, Antonio Carlos Daltro de Freitas</w:t>
      </w:r>
      <w:r w:rsidRPr="0014137C">
        <w:rPr>
          <w:sz w:val="24"/>
          <w:vertAlign w:val="superscript"/>
          <w:lang w:val="pt-BR"/>
        </w:rPr>
        <w:t>a</w:t>
      </w:r>
      <w:r w:rsidRPr="0014137C">
        <w:rPr>
          <w:sz w:val="24"/>
          <w:lang w:val="pt-BR"/>
        </w:rPr>
        <w:t xml:space="preserve"> and Reginaldo Guirardello</w:t>
      </w:r>
      <w:r w:rsidRPr="0014137C">
        <w:rPr>
          <w:sz w:val="24"/>
          <w:vertAlign w:val="superscript"/>
          <w:lang w:val="pt-BR"/>
        </w:rPr>
        <w:t>c</w:t>
      </w:r>
      <w:r w:rsidRPr="0014137C">
        <w:rPr>
          <w:sz w:val="24"/>
          <w:lang w:val="pt-BR"/>
        </w:rPr>
        <w:t>,*</w:t>
      </w:r>
    </w:p>
    <w:p w14:paraId="5EBCC572" w14:textId="7139556F" w:rsidR="009E2095" w:rsidRPr="00F40B40" w:rsidRDefault="009E2095" w:rsidP="009E2095">
      <w:pPr>
        <w:pStyle w:val="CETAddress"/>
        <w:jc w:val="both"/>
        <w:rPr>
          <w:szCs w:val="16"/>
          <w:lang w:val="en-US"/>
        </w:rPr>
      </w:pPr>
      <w:r w:rsidRPr="00F40B40">
        <w:rPr>
          <w:szCs w:val="16"/>
          <w:vertAlign w:val="superscript"/>
          <w:lang w:val="en-US"/>
        </w:rPr>
        <w:t>a</w:t>
      </w:r>
      <w:r w:rsidRPr="00F40B40">
        <w:rPr>
          <w:szCs w:val="16"/>
          <w:lang w:val="en-US"/>
        </w:rPr>
        <w:t>Department of Chemical Engineering, Center for Exact Sciences and Technology, Federal University of Maranhão (UFMA), Av. dos Portugueses, 1966, Bacanga, São Luís 65080-805, Brazil</w:t>
      </w:r>
    </w:p>
    <w:p w14:paraId="22EC9A35" w14:textId="3F8F6E3F" w:rsidR="009E2095" w:rsidRPr="00F40B40" w:rsidRDefault="009E2095" w:rsidP="009E2095">
      <w:pPr>
        <w:pStyle w:val="CETAddress"/>
        <w:jc w:val="both"/>
        <w:rPr>
          <w:szCs w:val="16"/>
          <w:lang w:val="en-US"/>
        </w:rPr>
      </w:pPr>
      <w:r w:rsidRPr="00F40B40">
        <w:rPr>
          <w:szCs w:val="16"/>
          <w:vertAlign w:val="superscript"/>
          <w:lang w:val="en-US"/>
        </w:rPr>
        <w:t>b</w:t>
      </w:r>
      <w:r w:rsidRPr="00F40B40">
        <w:rPr>
          <w:szCs w:val="16"/>
          <w:lang w:val="en-US"/>
        </w:rPr>
        <w:t>Department of Chemical Engineering, Center of Technology, State University of Maringá (UEM), Av. Colombo 5790, Maringá 87020-900, Brazil</w:t>
      </w:r>
    </w:p>
    <w:p w14:paraId="1F958328" w14:textId="7C854884" w:rsidR="009E2095" w:rsidRPr="00F40B40" w:rsidRDefault="009E2095" w:rsidP="009E2095">
      <w:pPr>
        <w:pStyle w:val="CETAddress"/>
        <w:jc w:val="both"/>
        <w:rPr>
          <w:szCs w:val="16"/>
          <w:lang w:val="en-US"/>
        </w:rPr>
      </w:pPr>
      <w:r w:rsidRPr="00F40B40">
        <w:rPr>
          <w:szCs w:val="16"/>
          <w:vertAlign w:val="superscript"/>
          <w:lang w:val="en-US"/>
        </w:rPr>
        <w:t>c</w:t>
      </w:r>
      <w:r w:rsidRPr="00F40B40">
        <w:rPr>
          <w:szCs w:val="16"/>
          <w:lang w:val="en-US"/>
        </w:rPr>
        <w:t>School of Chemical Engineering (FEQ), State University of Campinas (UNICAMP), Av. Albert Einstein 500, Campinas 13083-852, Brazil</w:t>
      </w:r>
    </w:p>
    <w:p w14:paraId="73F1267A" w14:textId="259006EF" w:rsidR="00B57E6F" w:rsidRPr="0014137C" w:rsidRDefault="0013122B" w:rsidP="00B57E6F">
      <w:pPr>
        <w:pStyle w:val="CETemail"/>
        <w:rPr>
          <w:szCs w:val="16"/>
          <w:lang w:val="fr-FR"/>
        </w:rPr>
      </w:pPr>
      <w:r w:rsidRPr="0014137C">
        <w:rPr>
          <w:rFonts w:cs="Arial"/>
          <w:szCs w:val="16"/>
          <w:lang w:val="en-US"/>
        </w:rPr>
        <w:t>guira@feq.unicamp.br</w:t>
      </w:r>
    </w:p>
    <w:p w14:paraId="65829068" w14:textId="6C521D19" w:rsidR="0013122B" w:rsidRPr="0014137C" w:rsidRDefault="00C65085" w:rsidP="00C65085">
      <w:pPr>
        <w:pStyle w:val="CETHeading1"/>
        <w:numPr>
          <w:ilvl w:val="0"/>
          <w:numId w:val="0"/>
        </w:numPr>
        <w:jc w:val="both"/>
        <w:rPr>
          <w:b w:val="0"/>
          <w:bCs/>
          <w:sz w:val="18"/>
          <w:szCs w:val="18"/>
          <w:lang w:val="en-GB"/>
        </w:rPr>
      </w:pPr>
      <w:r w:rsidRPr="0014137C">
        <w:rPr>
          <w:b w:val="0"/>
          <w:bCs/>
          <w:sz w:val="18"/>
          <w:szCs w:val="18"/>
          <w:lang w:val="en-GB"/>
        </w:rPr>
        <w:t xml:space="preserve">The growing demand for sustainable energy carriers highlights hydrogen as a key component in the global energy transition. This study investigates </w:t>
      </w:r>
      <w:r w:rsidRPr="0014137C">
        <w:rPr>
          <w:b w:val="0"/>
          <w:bCs/>
          <w:i/>
          <w:iCs/>
          <w:sz w:val="18"/>
          <w:szCs w:val="18"/>
          <w:lang w:val="en-GB"/>
        </w:rPr>
        <w:t>Caryocar brasiliense</w:t>
      </w:r>
      <w:r w:rsidRPr="0014137C">
        <w:rPr>
          <w:b w:val="0"/>
          <w:bCs/>
          <w:sz w:val="18"/>
          <w:szCs w:val="18"/>
          <w:lang w:val="en-GB"/>
        </w:rPr>
        <w:t xml:space="preserve"> (pequi) stone as a renewable feedstock for hydrogen production via supercritical water gasification (SCWG). Experimentally, the biomass was characterized through proximate and ultimate analyses, higher heating value determination, and Fourier-transform infrared spectroscopy (FTIR). The results indicate that pequi stone exhibits low moisture content (6.74%), high volatile matter (91.31%), favourable H/C (1.63) and O/C (0.51) molar ratios, and a chemically labile lignocellulosic structure rich in oxygenated and hydrogen-containing functional groups, confirming its suitability for thermochemical conversion. Complementarily, thermodynamic equilibrium simulations were performed using the </w:t>
      </w:r>
      <w:r w:rsidRPr="0014137C">
        <w:rPr>
          <w:b w:val="0"/>
          <w:bCs/>
          <w:i/>
          <w:iCs/>
          <w:sz w:val="18"/>
          <w:szCs w:val="18"/>
          <w:lang w:val="en-GB"/>
        </w:rPr>
        <w:t>TeS v3</w:t>
      </w:r>
      <w:r w:rsidRPr="0014137C">
        <w:rPr>
          <w:b w:val="0"/>
          <w:bCs/>
          <w:sz w:val="18"/>
          <w:szCs w:val="18"/>
          <w:lang w:val="en-GB"/>
        </w:rPr>
        <w:t xml:space="preserve"> free software under isothermal (Gibbs energy minimization) and adiabatic (entropy maximization) conditions. The simulations confirm the feasibility of hydrogen-rich gas production from pequi stone, with hydrogen molar fractions exceeding 50% under both isothermal and adiabatic operation, particularly at elevated temperatures and low biomass loadings. Overall, the combined experimental characterization and thermodynamic assessment demonstrate that pequi stone is a promising biomass for sustainable hydrogen production via SCWG, reinforcing its potential relevance for decentralized energy strategies in biomass-rich areas such as the Amazonian region of Maranhão, Brazil.</w:t>
      </w:r>
    </w:p>
    <w:p w14:paraId="476B2F2E" w14:textId="67243864" w:rsidR="00600535" w:rsidRPr="0014137C" w:rsidRDefault="00600535" w:rsidP="006E33CB">
      <w:pPr>
        <w:pStyle w:val="CETHeading1"/>
        <w:numPr>
          <w:ilvl w:val="0"/>
          <w:numId w:val="23"/>
        </w:numPr>
        <w:ind w:left="357" w:hanging="357"/>
        <w:rPr>
          <w:lang w:val="en-GB"/>
        </w:rPr>
      </w:pPr>
      <w:r w:rsidRPr="0014137C">
        <w:rPr>
          <w:lang w:val="en-GB"/>
        </w:rPr>
        <w:t>Introduction</w:t>
      </w:r>
    </w:p>
    <w:p w14:paraId="0DEF2580" w14:textId="672A3C91" w:rsidR="00FF0345" w:rsidRPr="0014137C" w:rsidRDefault="00FF0345" w:rsidP="00FF0345">
      <w:pPr>
        <w:pStyle w:val="CETBodytext"/>
        <w:rPr>
          <w:lang w:val="en-GB"/>
        </w:rPr>
      </w:pPr>
      <w:r w:rsidRPr="0014137C">
        <w:rPr>
          <w:lang w:val="en-GB"/>
        </w:rPr>
        <w:t>The transition toward low-carbon energy systems has intensified interest in hydrogen as a clean energy carrier capable of supporting decarbonization across industrial, transportation, and power generation sectors</w:t>
      </w:r>
      <w:r w:rsidR="0059567F" w:rsidRPr="0014137C">
        <w:rPr>
          <w:lang w:val="en-GB"/>
        </w:rPr>
        <w:t xml:space="preserve"> (IPCC, 2022)</w:t>
      </w:r>
      <w:r w:rsidRPr="0014137C">
        <w:rPr>
          <w:lang w:val="en-GB"/>
        </w:rPr>
        <w:t>. Among the available production routes, thermochemical conversion of renewable biomass has gained prominence due to its potential to couple energy generation with waste valorization and carbon mitigation, particularly when integrated with advanced conversion technologies</w:t>
      </w:r>
      <w:r w:rsidR="0059567F" w:rsidRPr="0014137C">
        <w:rPr>
          <w:lang w:val="en-GB"/>
        </w:rPr>
        <w:t xml:space="preserve"> (Castello and Fiori, 2011)</w:t>
      </w:r>
      <w:r w:rsidRPr="0014137C">
        <w:rPr>
          <w:lang w:val="en-GB"/>
        </w:rPr>
        <w:t>.</w:t>
      </w:r>
    </w:p>
    <w:p w14:paraId="670C7953" w14:textId="77777777" w:rsidR="00DF1EBF" w:rsidRPr="0014137C" w:rsidRDefault="00DF1EBF" w:rsidP="00FF0345">
      <w:pPr>
        <w:pStyle w:val="CETBodytext"/>
      </w:pPr>
      <w:r w:rsidRPr="0014137C">
        <w:t>Supercritical water gasification (SCWG) is a promising route for hydrogen production from wet and heterogeneous biomasses, as it avoids energy-intensive drying while maintaining high conversion efficiencies (Antal et al., 2000). By operating above the critical point of water, the process enhances the rapid decomposition of organic matter and promotes reforming reactions that increase hydrogen yield, while reducing char formation and mass-transfer limitations typical of conventional gasification processes (Elliot et al., 2004).</w:t>
      </w:r>
    </w:p>
    <w:p w14:paraId="4C366780" w14:textId="08A96ECE" w:rsidR="00FF0345" w:rsidRPr="0014137C" w:rsidRDefault="00FF0345" w:rsidP="00FF0345">
      <w:pPr>
        <w:pStyle w:val="CETBodytext"/>
        <w:rPr>
          <w:lang w:val="en-GB"/>
        </w:rPr>
      </w:pPr>
      <w:r w:rsidRPr="0014137C">
        <w:rPr>
          <w:lang w:val="en-GB"/>
        </w:rPr>
        <w:t xml:space="preserve">In this context, the use of regionally available biomass residues is essential to improve the techno-economic and environmental viability of SCWG systems. </w:t>
      </w:r>
      <w:r w:rsidRPr="0014137C">
        <w:rPr>
          <w:i/>
          <w:iCs/>
          <w:lang w:val="en-GB"/>
        </w:rPr>
        <w:t>Caryocar brasiliense</w:t>
      </w:r>
      <w:r w:rsidRPr="0014137C">
        <w:rPr>
          <w:lang w:val="en-GB"/>
        </w:rPr>
        <w:t xml:space="preserve"> (pequi) stone, an abundant agro-extractivist residue in Maranhão and other Amazonic regions, represents an underexplored feedstock with attractive </w:t>
      </w:r>
      <w:r w:rsidRPr="0014137C">
        <w:rPr>
          <w:lang w:val="en-GB"/>
        </w:rPr>
        <w:lastRenderedPageBreak/>
        <w:t>physicochemical characteristics for thermochemical conversion. Its valorization for hydrogen production aligns with circular economy principles and contributes to the sustainable management of local biomass resources.</w:t>
      </w:r>
    </w:p>
    <w:p w14:paraId="476E21DD" w14:textId="63EB53CA" w:rsidR="001B2FC2" w:rsidRPr="0014137C" w:rsidRDefault="00FF0345" w:rsidP="001B2FC2">
      <w:pPr>
        <w:pStyle w:val="CETBodytext"/>
        <w:rPr>
          <w:lang w:val="en-GB"/>
        </w:rPr>
      </w:pPr>
      <w:r w:rsidRPr="0014137C">
        <w:rPr>
          <w:lang w:val="en-GB"/>
        </w:rPr>
        <w:t xml:space="preserve">This study presents an integrated experimental and thermodynamic assessment of pequi stone for hydrogen production via SCWG. Comprehensive physicochemical characterization is combined with thermodynamic equilibrium </w:t>
      </w:r>
      <w:r w:rsidR="00AF1851" w:rsidRPr="0014137C">
        <w:rPr>
          <w:lang w:val="en-GB"/>
        </w:rPr>
        <w:t>modelling</w:t>
      </w:r>
      <w:r w:rsidRPr="0014137C">
        <w:rPr>
          <w:lang w:val="en-GB"/>
        </w:rPr>
        <w:t xml:space="preserve"> under isothermal and adiabatic conditions using Gibbs</w:t>
      </w:r>
      <w:r w:rsidR="0026494B" w:rsidRPr="0014137C">
        <w:rPr>
          <w:lang w:val="en-GB"/>
        </w:rPr>
        <w:t xml:space="preserve"> </w:t>
      </w:r>
      <w:r w:rsidRPr="0014137C">
        <w:rPr>
          <w:lang w:val="en-GB"/>
        </w:rPr>
        <w:t xml:space="preserve">energy minimization and entropy maximization approaches. By coupling experimental evidence with thermodynamic insights, the work aims to evaluate the suitability of pequi stone as a renewable feedstock and to identify favourable operating conditions for hydrogen-rich gas production, with relevance to decentralized energy strategies in biomass-rich regions, </w:t>
      </w:r>
      <w:r w:rsidR="004B3161" w:rsidRPr="0014137C">
        <w:rPr>
          <w:lang w:val="en-GB"/>
        </w:rPr>
        <w:t>including Maranhão</w:t>
      </w:r>
      <w:r w:rsidRPr="0014137C">
        <w:rPr>
          <w:lang w:val="en-GB"/>
        </w:rPr>
        <w:t>.</w:t>
      </w:r>
    </w:p>
    <w:p w14:paraId="5741900F" w14:textId="648D7E5A" w:rsidR="00453E24" w:rsidRPr="0014137C" w:rsidRDefault="00FF0345" w:rsidP="001B2FC2">
      <w:pPr>
        <w:pStyle w:val="CETBodytext"/>
        <w:spacing w:before="240" w:after="120"/>
        <w:rPr>
          <w:b/>
          <w:bCs/>
          <w:sz w:val="20"/>
          <w:szCs w:val="21"/>
          <w:lang w:val="en-GB"/>
        </w:rPr>
      </w:pPr>
      <w:r w:rsidRPr="0014137C">
        <w:rPr>
          <w:b/>
          <w:bCs/>
          <w:sz w:val="20"/>
          <w:szCs w:val="21"/>
          <w:lang w:val="en-GB"/>
        </w:rPr>
        <w:t xml:space="preserve">2. </w:t>
      </w:r>
      <w:r w:rsidR="00974546" w:rsidRPr="0014137C">
        <w:rPr>
          <w:b/>
          <w:bCs/>
          <w:sz w:val="20"/>
          <w:szCs w:val="21"/>
        </w:rPr>
        <w:t>Methodology</w:t>
      </w:r>
    </w:p>
    <w:p w14:paraId="7358B412" w14:textId="1D700B0B" w:rsidR="005C6549" w:rsidRPr="0014137C" w:rsidRDefault="005C6549" w:rsidP="008156B1">
      <w:pPr>
        <w:pStyle w:val="CETBodytext"/>
        <w:spacing w:before="120" w:after="120"/>
        <w:rPr>
          <w:b/>
          <w:bCs/>
        </w:rPr>
      </w:pPr>
      <w:r w:rsidRPr="0014137C">
        <w:rPr>
          <w:b/>
          <w:bCs/>
        </w:rPr>
        <w:t>2.1 Sample preparation</w:t>
      </w:r>
    </w:p>
    <w:p w14:paraId="0573A539" w14:textId="5BAE5A7B" w:rsidR="00F37C7B" w:rsidRPr="0014137C" w:rsidRDefault="00F37C7B" w:rsidP="00F37C7B">
      <w:pPr>
        <w:pStyle w:val="CETBodytext"/>
      </w:pPr>
      <w:r w:rsidRPr="0014137C">
        <w:t>Pequi fruits (Caryocar brasiliense) were collected in the municipality of Anapurus, Maranhão, Brazil (3°40′19″ S and 43°06′57″ W), located in the Amazon region of the state of Maranhão. After manual removal of the outer peel, the fruits were frozen to ensure preservation until the beginning of the analyses. The pulp was removed, and the residual fractions (stones) were ground in a hammer mill (model TE-330, Tecnal) for 2 minutes. The milling process resulted in two distinct fractions: (i) a fraction composed of the spiny endocarp, containing spines and adhered pulp residues, and (ii) the fraction corresponding to the internal kernel. Because the kernel could not be reproducibly comminuted to the target size range, subsequent analyses were conducted on the spiny endocarp fraction to ensure granulometric uniformity and analytical repeatability.</w:t>
      </w:r>
    </w:p>
    <w:p w14:paraId="759581CD" w14:textId="77777777" w:rsidR="00F37C7B" w:rsidRPr="0014137C" w:rsidRDefault="00F37C7B" w:rsidP="00F37C7B">
      <w:pPr>
        <w:pStyle w:val="CETBodytext"/>
        <w:spacing w:after="120"/>
      </w:pPr>
      <w:r w:rsidRPr="0014137C">
        <w:t>The material was dried by natural convection at room temperature for 24 h, a mild procedure adopted to minimize thermal degradation and compositional alterations that could affect proximate analysis, while still ensuring sufficient moisture removal for reproducible measurements. The material was then subjected to granulometric separation using an electromagnetic sieve shaker operating for 15 minutes. The fraction retained on the 35-mesh sieve showed a higher concentration of endocarp residues, characterized by a fine yellowish powder, and was selected for characterization, stored in a Ziploc-type plastic bag, and properly labeled.</w:t>
      </w:r>
    </w:p>
    <w:p w14:paraId="5AC7C31C" w14:textId="120F7202" w:rsidR="005C6549" w:rsidRPr="0014137C" w:rsidRDefault="005C6549" w:rsidP="00F37C7B">
      <w:pPr>
        <w:pStyle w:val="CETBodytext"/>
        <w:rPr>
          <w:b/>
          <w:bCs/>
        </w:rPr>
      </w:pPr>
      <w:r w:rsidRPr="0014137C">
        <w:rPr>
          <w:b/>
          <w:bCs/>
        </w:rPr>
        <w:t>2.2 Proximate analysis</w:t>
      </w:r>
    </w:p>
    <w:p w14:paraId="025BA275" w14:textId="7332886B" w:rsidR="00AF1851" w:rsidRPr="0014137C" w:rsidRDefault="005C6549" w:rsidP="005C6549">
      <w:pPr>
        <w:pStyle w:val="CETBodytext"/>
        <w:rPr>
          <w:color w:val="EE0000"/>
        </w:rPr>
      </w:pPr>
      <w:r w:rsidRPr="0014137C">
        <w:t xml:space="preserve">Moisture, ash, volatile matter, and fixed carbon contents of </w:t>
      </w:r>
      <w:r w:rsidR="002068A1" w:rsidRPr="0014137C">
        <w:t xml:space="preserve">pequi stone </w:t>
      </w:r>
      <w:r w:rsidRPr="0014137C">
        <w:t>samples were quantified according to standard ASTM procedures (ASTM D3172-13; ASTM D3173-11; ASTM D3174-12; ASTM D3175-20). All determinations were performed in triplicate, using porcelain crucibles previously dried in a convection oven, cooled in a desiccator, and weighed before use.</w:t>
      </w:r>
      <w:r w:rsidR="002068A1" w:rsidRPr="0014137C">
        <w:rPr>
          <w:color w:val="EE0000"/>
        </w:rPr>
        <w:t xml:space="preserve"> </w:t>
      </w:r>
    </w:p>
    <w:p w14:paraId="39276A09" w14:textId="77777777" w:rsidR="005C6549" w:rsidRPr="0014137C" w:rsidRDefault="005C6549" w:rsidP="008156B1">
      <w:pPr>
        <w:pStyle w:val="CETBodytext"/>
        <w:spacing w:before="120" w:after="120"/>
        <w:rPr>
          <w:b/>
          <w:bCs/>
        </w:rPr>
      </w:pPr>
      <w:r w:rsidRPr="0014137C">
        <w:rPr>
          <w:b/>
          <w:bCs/>
        </w:rPr>
        <w:t>2.3 Ultimate analysis</w:t>
      </w:r>
    </w:p>
    <w:p w14:paraId="3B79B0EF" w14:textId="66BF6F7C" w:rsidR="00AF1851" w:rsidRPr="0014137C" w:rsidRDefault="005C6549" w:rsidP="005C6549">
      <w:pPr>
        <w:pStyle w:val="CETBodytext"/>
      </w:pPr>
      <w:r w:rsidRPr="0014137C">
        <w:t xml:space="preserve">An Instrument CHNS </w:t>
      </w:r>
      <w:r w:rsidR="000E2704" w:rsidRPr="0014137C">
        <w:t>analyzer</w:t>
      </w:r>
      <w:r w:rsidRPr="0014137C">
        <w:t xml:space="preserve"> (Vario Macro Cube CHNS) was used to perform the ultimate analysis by total oxidation of biomass samples. Weight percentages of </w:t>
      </w:r>
      <w:r w:rsidR="000E2704" w:rsidRPr="0014137C">
        <w:t>C</w:t>
      </w:r>
      <w:r w:rsidRPr="0014137C">
        <w:t xml:space="preserve">arbon (C), </w:t>
      </w:r>
      <w:r w:rsidR="000E2704" w:rsidRPr="0014137C">
        <w:t>H</w:t>
      </w:r>
      <w:r w:rsidRPr="0014137C">
        <w:t xml:space="preserve">ydrogen (H), </w:t>
      </w:r>
      <w:r w:rsidR="000E2704" w:rsidRPr="0014137C">
        <w:t>N</w:t>
      </w:r>
      <w:r w:rsidRPr="0014137C">
        <w:t xml:space="preserve">itrogen (N) and </w:t>
      </w:r>
      <w:r w:rsidR="000E2704" w:rsidRPr="0014137C">
        <w:t>Sulphur</w:t>
      </w:r>
      <w:r w:rsidRPr="0014137C">
        <w:t xml:space="preserve"> (S) were determined. Oxygen contents were calculated by subtracting the sum of C, H, N and S contents from</w:t>
      </w:r>
      <w:r w:rsidR="001138F0" w:rsidRPr="0014137C">
        <w:t xml:space="preserve"> 100%</w:t>
      </w:r>
      <w:r w:rsidRPr="0014137C">
        <w:t>.</w:t>
      </w:r>
    </w:p>
    <w:p w14:paraId="15C9E4DD" w14:textId="77777777" w:rsidR="005C6549" w:rsidRPr="0014137C" w:rsidRDefault="005C6549" w:rsidP="008156B1">
      <w:pPr>
        <w:pStyle w:val="CETBodytext"/>
        <w:spacing w:before="120" w:after="120"/>
        <w:rPr>
          <w:b/>
          <w:bCs/>
        </w:rPr>
      </w:pPr>
      <w:r w:rsidRPr="0014137C">
        <w:rPr>
          <w:b/>
          <w:bCs/>
        </w:rPr>
        <w:t>2.4 FTIR spectroscopy</w:t>
      </w:r>
    </w:p>
    <w:p w14:paraId="0E87462D" w14:textId="78B43149" w:rsidR="005C6549" w:rsidRPr="0014137C" w:rsidRDefault="005C6549" w:rsidP="005C6549">
      <w:pPr>
        <w:pStyle w:val="CETBodytext"/>
      </w:pPr>
      <w:r w:rsidRPr="0014137C">
        <w:t>The structural characterization of the samples was carried out by Fourier-transform infrared spectroscopy (FTIR) using a Shimadzu IRPrestige-21 spectrophotometer (Shimadzu Corporation, Japan) equipped with a DTGS detector and a globar (SiC) source. The instrument was fitted with a diamond/ZnSe ATR accessory operating in direct contact with the sample surface.</w:t>
      </w:r>
      <w:r w:rsidR="004B3161" w:rsidRPr="0014137C">
        <w:t xml:space="preserve"> </w:t>
      </w:r>
      <w:r w:rsidRPr="0014137C">
        <w:t>Spectra were recorded in the 4000–400 cm</w:t>
      </w:r>
      <w:r w:rsidRPr="0014137C">
        <w:rPr>
          <w:rFonts w:ascii="Cambria Math" w:hAnsi="Cambria Math" w:cs="Cambria Math"/>
        </w:rPr>
        <w:t>⁻</w:t>
      </w:r>
      <w:r w:rsidRPr="0014137C">
        <w:t>¹ range, with a spectral resolution of 4 cm</w:t>
      </w:r>
      <w:r w:rsidRPr="0014137C">
        <w:rPr>
          <w:rFonts w:ascii="Cambria Math" w:hAnsi="Cambria Math" w:cs="Cambria Math"/>
        </w:rPr>
        <w:t>⁻</w:t>
      </w:r>
      <w:r w:rsidRPr="0014137C">
        <w:t>¹ and 32 accumulated scans per sample. Prior to each acquisition, the crystal surface was carefully cleaned with analytical-grade ethanol and checked to ensure the absence of background contamination. A background spectrum was collected every five samples to ensure signal stability.</w:t>
      </w:r>
    </w:p>
    <w:p w14:paraId="566D61BC" w14:textId="5C376FC8" w:rsidR="005C6549" w:rsidRPr="0014137C" w:rsidRDefault="005C6549" w:rsidP="008156B1">
      <w:pPr>
        <w:pStyle w:val="CETBodytext"/>
        <w:spacing w:before="120" w:after="120"/>
        <w:rPr>
          <w:b/>
          <w:bCs/>
        </w:rPr>
      </w:pPr>
      <w:r w:rsidRPr="0014137C">
        <w:rPr>
          <w:b/>
          <w:bCs/>
        </w:rPr>
        <w:t>2.</w:t>
      </w:r>
      <w:r w:rsidR="001B2FC2" w:rsidRPr="0014137C">
        <w:rPr>
          <w:b/>
          <w:bCs/>
        </w:rPr>
        <w:t>5</w:t>
      </w:r>
      <w:r w:rsidRPr="0014137C">
        <w:rPr>
          <w:b/>
          <w:bCs/>
        </w:rPr>
        <w:t xml:space="preserve"> Thermodynamic A</w:t>
      </w:r>
      <w:r w:rsidR="006E5A4A" w:rsidRPr="0014137C">
        <w:rPr>
          <w:b/>
          <w:bCs/>
        </w:rPr>
        <w:t>nalysis</w:t>
      </w:r>
    </w:p>
    <w:p w14:paraId="24EC52EB" w14:textId="4C5AA937" w:rsidR="00AF381F" w:rsidRPr="00F40B40" w:rsidRDefault="00C9264C" w:rsidP="006E5A4A">
      <w:pPr>
        <w:shd w:val="clear" w:color="auto" w:fill="FFFFFF"/>
        <w:tabs>
          <w:tab w:val="clear" w:pos="7100"/>
        </w:tabs>
        <w:spacing w:line="240" w:lineRule="auto"/>
        <w:rPr>
          <w:rFonts w:cs="Arial"/>
          <w:color w:val="222222"/>
          <w:sz w:val="24"/>
          <w:szCs w:val="24"/>
          <w:lang w:val="en-US" w:eastAsia="pt-BR"/>
        </w:rPr>
      </w:pPr>
      <w:r w:rsidRPr="0014137C">
        <w:rPr>
          <w:rFonts w:cs="Arial"/>
        </w:rPr>
        <w:t>The thermodynamic behavior of the SCWG system was evaluated using two complementary equilibrium approaches. Under isothermal conditions, the equilibrium composition was determined by minimizing the total Gibbs energy (MinG, Eq. 1), at constant T and P, subject to the elemental balance and non-negativity constraints (Eqs. 3 and 5)</w:t>
      </w:r>
      <w:r w:rsidR="00284BE8" w:rsidRPr="0014137C">
        <w:rPr>
          <w:rFonts w:cs="Arial"/>
        </w:rPr>
        <w:t>. In this formulation</w:t>
      </w:r>
      <w:r w:rsidR="006E5A4A" w:rsidRPr="0014137C">
        <w:rPr>
          <w:rFonts w:cs="Arial"/>
          <w:color w:val="222222"/>
          <w:szCs w:val="18"/>
          <w:shd w:val="clear" w:color="auto" w:fill="FFFFFF"/>
        </w:rPr>
        <w:t>, the equilibrium is calculated by the minimization of the total Gibbs energy considering all possible phases</w:t>
      </w:r>
      <w:r w:rsidR="00284BE8" w:rsidRPr="0014137C">
        <w:rPr>
          <w:rFonts w:cs="Arial"/>
        </w:rPr>
        <w:t xml:space="preserve">. For adiabatic operation, the system </w:t>
      </w:r>
      <w:r w:rsidR="007640ED" w:rsidRPr="0014137C">
        <w:rPr>
          <w:rFonts w:cs="Arial"/>
        </w:rPr>
        <w:t>behavior</w:t>
      </w:r>
      <w:r w:rsidR="00284BE8" w:rsidRPr="0014137C">
        <w:rPr>
          <w:rFonts w:cs="Arial"/>
        </w:rPr>
        <w:t xml:space="preserve"> was assessed through entropy maximization (MaxS, Eq. 2), subject to the elemental balance, the enthalpy constraint</w:t>
      </w:r>
      <w:r w:rsidR="00804589" w:rsidRPr="0014137C">
        <w:rPr>
          <w:rFonts w:cs="Arial"/>
        </w:rPr>
        <w:t xml:space="preserve"> and non-negativity of the number of moles</w:t>
      </w:r>
      <w:r w:rsidR="00284BE8" w:rsidRPr="0014137C">
        <w:rPr>
          <w:rFonts w:cs="Arial"/>
        </w:rPr>
        <w:t xml:space="preserve"> (Eqs. 3, 4, and 5). In the MaxS formulation, </w:t>
      </w:r>
      <w:r w:rsidR="006E5A4A" w:rsidRPr="00F40B40">
        <w:rPr>
          <w:rFonts w:cs="Arial"/>
          <w:color w:val="222222"/>
          <w:szCs w:val="18"/>
          <w:lang w:val="en-US" w:eastAsia="pt-BR"/>
        </w:rPr>
        <w:t>the equilibrium is calculated by the maximization of total entropy under constant pressure and total enthalpy, achieving a</w:t>
      </w:r>
      <w:r w:rsidR="006E5A4A" w:rsidRPr="00F40B40">
        <w:rPr>
          <w:rFonts w:cs="Arial"/>
          <w:color w:val="222222"/>
          <w:sz w:val="24"/>
          <w:szCs w:val="24"/>
          <w:lang w:val="en-US" w:eastAsia="pt-BR"/>
        </w:rPr>
        <w:t xml:space="preserve"> </w:t>
      </w:r>
      <w:r w:rsidR="006E5A4A" w:rsidRPr="00F40B40">
        <w:rPr>
          <w:rFonts w:cs="Arial"/>
          <w:color w:val="222222"/>
          <w:szCs w:val="18"/>
          <w:lang w:val="en-US" w:eastAsia="pt-BR"/>
        </w:rPr>
        <w:t>uniform temperature</w:t>
      </w:r>
      <w:r w:rsidR="00284BE8" w:rsidRPr="0014137C">
        <w:rPr>
          <w:rFonts w:cs="Arial"/>
        </w:rPr>
        <w:t xml:space="preserve">. Both approaches were implemented as nonlinear programming problems, ensuring thermodynamic consistency across operating </w:t>
      </w:r>
      <w:r w:rsidR="00284BE8" w:rsidRPr="0014137C">
        <w:rPr>
          <w:rFonts w:cs="Arial"/>
        </w:rPr>
        <w:lastRenderedPageBreak/>
        <w:t>conditions. The combined application of the MinG and MaxS methods is essential for adequately representing the thermodynamic performance of SCWG systems, as it enables the prediction of equilibrium composition and thermal behavior under different operational modes (dos Santos Junior et al., 2025).</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271"/>
        <w:gridCol w:w="426"/>
        <w:gridCol w:w="10"/>
      </w:tblGrid>
      <w:tr w:rsidR="00AF381F" w:rsidRPr="0014137C" w14:paraId="71EE4BD3" w14:textId="77777777" w:rsidTr="00D1389C">
        <w:trPr>
          <w:gridAfter w:val="1"/>
          <w:wAfter w:w="10" w:type="dxa"/>
          <w:jc w:val="center"/>
        </w:trPr>
        <w:tc>
          <w:tcPr>
            <w:tcW w:w="8080" w:type="dxa"/>
            <w:vAlign w:val="center"/>
          </w:tcPr>
          <w:p w14:paraId="1935C855" w14:textId="77777777" w:rsidR="00AF381F" w:rsidRPr="0014137C" w:rsidRDefault="00AF381F" w:rsidP="00D1389C">
            <w:pPr>
              <w:pStyle w:val="CETBodytext"/>
              <w:spacing w:line="240" w:lineRule="auto"/>
              <w:jc w:val="right"/>
              <w:rPr>
                <w:rFonts w:cs="Arial"/>
                <w:szCs w:val="18"/>
              </w:rPr>
            </w:pPr>
            <m:oMathPara>
              <m:oMathParaPr>
                <m:jc m:val="left"/>
              </m:oMathParaPr>
              <m:oMath>
                <m:r>
                  <w:rPr>
                    <w:rFonts w:ascii="Cambria Math" w:hAnsi="Cambria Math" w:cs="Arial"/>
                    <w:szCs w:val="18"/>
                  </w:rPr>
                  <m:t>minG=</m:t>
                </m:r>
                <m:nary>
                  <m:naryPr>
                    <m:chr m:val="∑"/>
                    <m:limLoc m:val="undOvr"/>
                    <m:ctrlPr>
                      <w:rPr>
                        <w:rFonts w:ascii="Cambria Math" w:hAnsi="Cambria Math" w:cs="Arial"/>
                        <w:i/>
                        <w:szCs w:val="18"/>
                      </w:rPr>
                    </m:ctrlPr>
                  </m:naryPr>
                  <m:sub>
                    <m:r>
                      <w:rPr>
                        <w:rFonts w:ascii="Cambria Math" w:hAnsi="Cambria Math" w:cs="Arial"/>
                        <w:szCs w:val="18"/>
                      </w:rPr>
                      <m:t>i=1</m:t>
                    </m:r>
                  </m:sub>
                  <m:sup>
                    <m:r>
                      <w:rPr>
                        <w:rFonts w:ascii="Cambria Math" w:hAnsi="Cambria Math" w:cs="Arial"/>
                        <w:szCs w:val="18"/>
                      </w:rPr>
                      <m:t>NC</m:t>
                    </m:r>
                  </m:sup>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g</m:t>
                        </m:r>
                      </m:sup>
                    </m:sSubSup>
                    <m:sSubSup>
                      <m:sSubSupPr>
                        <m:ctrlPr>
                          <w:rPr>
                            <w:rFonts w:ascii="Cambria Math" w:hAnsi="Cambria Math" w:cs="Arial"/>
                            <w:i/>
                            <w:szCs w:val="18"/>
                          </w:rPr>
                        </m:ctrlPr>
                      </m:sSubSupPr>
                      <m:e>
                        <m:r>
                          <w:rPr>
                            <w:rFonts w:ascii="Cambria Math" w:hAnsi="Cambria Math" w:cs="Arial"/>
                            <w:szCs w:val="18"/>
                          </w:rPr>
                          <m:t>μ</m:t>
                        </m:r>
                      </m:e>
                      <m:sub>
                        <m:r>
                          <w:rPr>
                            <w:rFonts w:ascii="Cambria Math" w:hAnsi="Cambria Math" w:cs="Arial"/>
                            <w:szCs w:val="18"/>
                          </w:rPr>
                          <m:t>i</m:t>
                        </m:r>
                      </m:sub>
                      <m:sup>
                        <m:r>
                          <w:rPr>
                            <w:rFonts w:ascii="Cambria Math" w:hAnsi="Cambria Math" w:cs="Arial"/>
                            <w:szCs w:val="18"/>
                          </w:rPr>
                          <m:t>g</m:t>
                        </m:r>
                      </m:sup>
                    </m:sSubSup>
                  </m:e>
                </m:nary>
                <m:r>
                  <w:rPr>
                    <w:rFonts w:ascii="Cambria Math" w:hAnsi="Cambria Math" w:cs="Arial"/>
                    <w:szCs w:val="18"/>
                  </w:rPr>
                  <m:t>+</m:t>
                </m:r>
                <m:nary>
                  <m:naryPr>
                    <m:chr m:val="∑"/>
                    <m:limLoc m:val="undOvr"/>
                    <m:ctrlPr>
                      <w:rPr>
                        <w:rFonts w:ascii="Cambria Math" w:hAnsi="Cambria Math" w:cs="Arial"/>
                        <w:i/>
                        <w:szCs w:val="18"/>
                      </w:rPr>
                    </m:ctrlPr>
                  </m:naryPr>
                  <m:sub>
                    <m:r>
                      <w:rPr>
                        <w:rFonts w:ascii="Cambria Math" w:hAnsi="Cambria Math" w:cs="Arial"/>
                        <w:szCs w:val="18"/>
                      </w:rPr>
                      <m:t>i=1</m:t>
                    </m:r>
                  </m:sub>
                  <m:sup>
                    <m:r>
                      <w:rPr>
                        <w:rFonts w:ascii="Cambria Math" w:hAnsi="Cambria Math" w:cs="Arial"/>
                        <w:szCs w:val="18"/>
                      </w:rPr>
                      <m:t>NC</m:t>
                    </m:r>
                  </m:sup>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l</m:t>
                        </m:r>
                      </m:sup>
                    </m:sSubSup>
                    <m:sSubSup>
                      <m:sSubSupPr>
                        <m:ctrlPr>
                          <w:rPr>
                            <w:rFonts w:ascii="Cambria Math" w:hAnsi="Cambria Math" w:cs="Arial"/>
                            <w:i/>
                            <w:szCs w:val="18"/>
                          </w:rPr>
                        </m:ctrlPr>
                      </m:sSubSupPr>
                      <m:e>
                        <m:r>
                          <w:rPr>
                            <w:rFonts w:ascii="Cambria Math" w:hAnsi="Cambria Math" w:cs="Arial"/>
                            <w:szCs w:val="18"/>
                          </w:rPr>
                          <m:t>μ</m:t>
                        </m:r>
                      </m:e>
                      <m:sub>
                        <m:r>
                          <w:rPr>
                            <w:rFonts w:ascii="Cambria Math" w:hAnsi="Cambria Math" w:cs="Arial"/>
                            <w:szCs w:val="18"/>
                          </w:rPr>
                          <m:t>i</m:t>
                        </m:r>
                      </m:sub>
                      <m:sup>
                        <m:r>
                          <w:rPr>
                            <w:rFonts w:ascii="Cambria Math" w:hAnsi="Cambria Math" w:cs="Arial"/>
                            <w:szCs w:val="18"/>
                          </w:rPr>
                          <m:t>l</m:t>
                        </m:r>
                      </m:sup>
                    </m:sSubSup>
                  </m:e>
                </m:nary>
                <m:r>
                  <w:rPr>
                    <w:rFonts w:ascii="Cambria Math" w:hAnsi="Cambria Math" w:cs="Arial"/>
                    <w:szCs w:val="18"/>
                  </w:rPr>
                  <m:t>+</m:t>
                </m:r>
                <m:nary>
                  <m:naryPr>
                    <m:chr m:val="∑"/>
                    <m:limLoc m:val="undOvr"/>
                    <m:ctrlPr>
                      <w:rPr>
                        <w:rFonts w:ascii="Cambria Math" w:hAnsi="Cambria Math" w:cs="Arial"/>
                        <w:i/>
                        <w:szCs w:val="18"/>
                      </w:rPr>
                    </m:ctrlPr>
                  </m:naryPr>
                  <m:sub>
                    <m:r>
                      <w:rPr>
                        <w:rFonts w:ascii="Cambria Math" w:hAnsi="Cambria Math" w:cs="Arial"/>
                        <w:szCs w:val="18"/>
                      </w:rPr>
                      <m:t>i=1</m:t>
                    </m:r>
                  </m:sub>
                  <m:sup>
                    <m:r>
                      <w:rPr>
                        <w:rFonts w:ascii="Cambria Math" w:hAnsi="Cambria Math" w:cs="Arial"/>
                        <w:szCs w:val="18"/>
                      </w:rPr>
                      <m:t>NC</m:t>
                    </m:r>
                  </m:sup>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s</m:t>
                        </m:r>
                      </m:sup>
                    </m:sSubSup>
                    <m:sSubSup>
                      <m:sSubSupPr>
                        <m:ctrlPr>
                          <w:rPr>
                            <w:rFonts w:ascii="Cambria Math" w:hAnsi="Cambria Math" w:cs="Arial"/>
                            <w:i/>
                            <w:szCs w:val="18"/>
                          </w:rPr>
                        </m:ctrlPr>
                      </m:sSubSupPr>
                      <m:e>
                        <m:r>
                          <w:rPr>
                            <w:rFonts w:ascii="Cambria Math" w:hAnsi="Cambria Math" w:cs="Arial"/>
                            <w:szCs w:val="18"/>
                          </w:rPr>
                          <m:t>μ</m:t>
                        </m:r>
                      </m:e>
                      <m:sub>
                        <m:r>
                          <w:rPr>
                            <w:rFonts w:ascii="Cambria Math" w:hAnsi="Cambria Math" w:cs="Arial"/>
                            <w:szCs w:val="18"/>
                          </w:rPr>
                          <m:t>i</m:t>
                        </m:r>
                      </m:sub>
                      <m:sup>
                        <m:r>
                          <w:rPr>
                            <w:rFonts w:ascii="Cambria Math" w:hAnsi="Cambria Math" w:cs="Arial"/>
                            <w:szCs w:val="18"/>
                          </w:rPr>
                          <m:t>s</m:t>
                        </m:r>
                      </m:sup>
                    </m:sSubSup>
                  </m:e>
                </m:nary>
              </m:oMath>
            </m:oMathPara>
          </w:p>
        </w:tc>
        <w:tc>
          <w:tcPr>
            <w:tcW w:w="697" w:type="dxa"/>
            <w:gridSpan w:val="2"/>
            <w:vAlign w:val="center"/>
          </w:tcPr>
          <w:p w14:paraId="3F5318E1" w14:textId="77777777" w:rsidR="00AF381F" w:rsidRPr="0014137C" w:rsidRDefault="00AF381F" w:rsidP="00D1389C">
            <w:pPr>
              <w:pStyle w:val="CETBodytext"/>
              <w:spacing w:line="240" w:lineRule="auto"/>
              <w:jc w:val="right"/>
              <w:rPr>
                <w:rFonts w:cs="Arial"/>
                <w:szCs w:val="18"/>
              </w:rPr>
            </w:pPr>
            <w:r w:rsidRPr="0014137C">
              <w:rPr>
                <w:rFonts w:cs="Arial"/>
                <w:szCs w:val="18"/>
              </w:rPr>
              <w:t>(1)</w:t>
            </w:r>
          </w:p>
        </w:tc>
      </w:tr>
      <w:tr w:rsidR="00AF381F" w:rsidRPr="0014137C" w14:paraId="2F9B136D" w14:textId="77777777" w:rsidTr="00D1389C">
        <w:tblPrEx>
          <w:jc w:val="left"/>
        </w:tblPrEx>
        <w:trPr>
          <w:gridAfter w:val="1"/>
          <w:wAfter w:w="10" w:type="dxa"/>
        </w:trPr>
        <w:tc>
          <w:tcPr>
            <w:tcW w:w="8080" w:type="dxa"/>
            <w:vAlign w:val="center"/>
          </w:tcPr>
          <w:p w14:paraId="7596395C" w14:textId="36F5A85C" w:rsidR="00AF381F" w:rsidRPr="0014137C" w:rsidRDefault="00875EE4" w:rsidP="00D1389C">
            <w:pPr>
              <w:pStyle w:val="CETBodytext"/>
              <w:spacing w:line="240" w:lineRule="auto"/>
              <w:jc w:val="right"/>
              <w:rPr>
                <w:rFonts w:cs="Arial"/>
                <w:szCs w:val="18"/>
              </w:rPr>
            </w:pPr>
            <m:oMathPara>
              <m:oMathParaPr>
                <m:jc m:val="left"/>
              </m:oMathParaPr>
              <m:oMath>
                <m:r>
                  <w:rPr>
                    <w:rFonts w:ascii="Cambria Math" w:hAnsi="Cambria Math" w:cs="Arial"/>
                    <w:szCs w:val="18"/>
                  </w:rPr>
                  <m:t>maxS=</m:t>
                </m:r>
                <m:nary>
                  <m:naryPr>
                    <m:chr m:val="∑"/>
                    <m:limLoc m:val="undOvr"/>
                    <m:ctrlPr>
                      <w:rPr>
                        <w:rFonts w:ascii="Cambria Math" w:hAnsi="Cambria Math" w:cs="Arial"/>
                        <w:i/>
                        <w:szCs w:val="18"/>
                      </w:rPr>
                    </m:ctrlPr>
                  </m:naryPr>
                  <m:sub>
                    <m:r>
                      <w:rPr>
                        <w:rFonts w:ascii="Cambria Math" w:hAnsi="Cambria Math" w:cs="Arial"/>
                        <w:szCs w:val="18"/>
                      </w:rPr>
                      <m:t>i=1</m:t>
                    </m:r>
                  </m:sub>
                  <m:sup>
                    <m:r>
                      <w:rPr>
                        <w:rFonts w:ascii="Cambria Math" w:hAnsi="Cambria Math" w:cs="Arial"/>
                        <w:szCs w:val="18"/>
                      </w:rPr>
                      <m:t>NC</m:t>
                    </m:r>
                  </m:sup>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g</m:t>
                        </m:r>
                      </m:sup>
                    </m:sSubSup>
                    <m:sSubSup>
                      <m:sSubSupPr>
                        <m:ctrlPr>
                          <w:rPr>
                            <w:rFonts w:ascii="Cambria Math" w:hAnsi="Cambria Math" w:cs="Arial"/>
                            <w:i/>
                            <w:szCs w:val="18"/>
                          </w:rPr>
                        </m:ctrlPr>
                      </m:sSubSupPr>
                      <m:e>
                        <m:r>
                          <w:rPr>
                            <w:rFonts w:ascii="Cambria Math" w:hAnsi="Cambria Math" w:cs="Arial"/>
                            <w:szCs w:val="18"/>
                          </w:rPr>
                          <m:t>S</m:t>
                        </m:r>
                      </m:e>
                      <m:sub>
                        <m:r>
                          <w:rPr>
                            <w:rFonts w:ascii="Cambria Math" w:hAnsi="Cambria Math" w:cs="Arial"/>
                            <w:szCs w:val="18"/>
                          </w:rPr>
                          <m:t>i</m:t>
                        </m:r>
                      </m:sub>
                      <m:sup>
                        <m:r>
                          <w:rPr>
                            <w:rFonts w:ascii="Cambria Math" w:hAnsi="Cambria Math" w:cs="Arial"/>
                            <w:szCs w:val="18"/>
                          </w:rPr>
                          <m:t>g</m:t>
                        </m:r>
                      </m:sup>
                    </m:sSubSup>
                  </m:e>
                </m:nary>
                <m:r>
                  <w:rPr>
                    <w:rFonts w:ascii="Cambria Math" w:hAnsi="Cambria Math" w:cs="Arial"/>
                    <w:szCs w:val="18"/>
                  </w:rPr>
                  <m:t>+</m:t>
                </m:r>
                <m:nary>
                  <m:naryPr>
                    <m:chr m:val="∑"/>
                    <m:limLoc m:val="undOvr"/>
                    <m:ctrlPr>
                      <w:rPr>
                        <w:rFonts w:ascii="Cambria Math" w:hAnsi="Cambria Math" w:cs="Arial"/>
                        <w:i/>
                        <w:szCs w:val="18"/>
                      </w:rPr>
                    </m:ctrlPr>
                  </m:naryPr>
                  <m:sub>
                    <m:r>
                      <w:rPr>
                        <w:rFonts w:ascii="Cambria Math" w:hAnsi="Cambria Math" w:cs="Arial"/>
                        <w:szCs w:val="18"/>
                      </w:rPr>
                      <m:t>i=1</m:t>
                    </m:r>
                  </m:sub>
                  <m:sup>
                    <m:r>
                      <w:rPr>
                        <w:rFonts w:ascii="Cambria Math" w:hAnsi="Cambria Math" w:cs="Arial"/>
                        <w:szCs w:val="18"/>
                      </w:rPr>
                      <m:t>NC</m:t>
                    </m:r>
                  </m:sup>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l</m:t>
                        </m:r>
                      </m:sup>
                    </m:sSubSup>
                    <m:sSubSup>
                      <m:sSubSupPr>
                        <m:ctrlPr>
                          <w:rPr>
                            <w:rFonts w:ascii="Cambria Math" w:hAnsi="Cambria Math" w:cs="Arial"/>
                            <w:i/>
                            <w:szCs w:val="18"/>
                          </w:rPr>
                        </m:ctrlPr>
                      </m:sSubSupPr>
                      <m:e>
                        <m:r>
                          <w:rPr>
                            <w:rFonts w:ascii="Cambria Math" w:hAnsi="Cambria Math" w:cs="Arial"/>
                            <w:szCs w:val="18"/>
                          </w:rPr>
                          <m:t>S</m:t>
                        </m:r>
                      </m:e>
                      <m:sub>
                        <m:r>
                          <w:rPr>
                            <w:rFonts w:ascii="Cambria Math" w:hAnsi="Cambria Math" w:cs="Arial"/>
                            <w:szCs w:val="18"/>
                          </w:rPr>
                          <m:t>i</m:t>
                        </m:r>
                      </m:sub>
                      <m:sup>
                        <m:r>
                          <w:rPr>
                            <w:rFonts w:ascii="Cambria Math" w:hAnsi="Cambria Math" w:cs="Arial"/>
                            <w:szCs w:val="18"/>
                          </w:rPr>
                          <m:t>l</m:t>
                        </m:r>
                      </m:sup>
                    </m:sSubSup>
                  </m:e>
                </m:nary>
                <m:r>
                  <w:rPr>
                    <w:rFonts w:ascii="Cambria Math" w:hAnsi="Cambria Math" w:cs="Arial"/>
                    <w:szCs w:val="18"/>
                  </w:rPr>
                  <m:t>+</m:t>
                </m:r>
                <m:nary>
                  <m:naryPr>
                    <m:chr m:val="∑"/>
                    <m:limLoc m:val="undOvr"/>
                    <m:ctrlPr>
                      <w:rPr>
                        <w:rFonts w:ascii="Cambria Math" w:hAnsi="Cambria Math" w:cs="Arial"/>
                        <w:i/>
                        <w:szCs w:val="18"/>
                      </w:rPr>
                    </m:ctrlPr>
                  </m:naryPr>
                  <m:sub>
                    <m:r>
                      <w:rPr>
                        <w:rFonts w:ascii="Cambria Math" w:hAnsi="Cambria Math" w:cs="Arial"/>
                        <w:szCs w:val="18"/>
                      </w:rPr>
                      <m:t>i=1</m:t>
                    </m:r>
                  </m:sub>
                  <m:sup>
                    <m:r>
                      <w:rPr>
                        <w:rFonts w:ascii="Cambria Math" w:hAnsi="Cambria Math" w:cs="Arial"/>
                        <w:szCs w:val="18"/>
                      </w:rPr>
                      <m:t>NC</m:t>
                    </m:r>
                  </m:sup>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s</m:t>
                        </m:r>
                      </m:sup>
                    </m:sSubSup>
                    <m:sSubSup>
                      <m:sSubSupPr>
                        <m:ctrlPr>
                          <w:rPr>
                            <w:rFonts w:ascii="Cambria Math" w:hAnsi="Cambria Math" w:cs="Arial"/>
                            <w:i/>
                            <w:szCs w:val="18"/>
                          </w:rPr>
                        </m:ctrlPr>
                      </m:sSubSupPr>
                      <m:e>
                        <m:r>
                          <w:rPr>
                            <w:rFonts w:ascii="Cambria Math" w:hAnsi="Cambria Math" w:cs="Arial"/>
                            <w:szCs w:val="18"/>
                          </w:rPr>
                          <m:t>S</m:t>
                        </m:r>
                      </m:e>
                      <m:sub>
                        <m:r>
                          <w:rPr>
                            <w:rFonts w:ascii="Cambria Math" w:hAnsi="Cambria Math" w:cs="Arial"/>
                            <w:szCs w:val="18"/>
                          </w:rPr>
                          <m:t>i</m:t>
                        </m:r>
                      </m:sub>
                      <m:sup>
                        <m:r>
                          <w:rPr>
                            <w:rFonts w:ascii="Cambria Math" w:hAnsi="Cambria Math" w:cs="Arial"/>
                            <w:szCs w:val="18"/>
                          </w:rPr>
                          <m:t>s</m:t>
                        </m:r>
                      </m:sup>
                    </m:sSubSup>
                  </m:e>
                </m:nary>
              </m:oMath>
            </m:oMathPara>
          </w:p>
        </w:tc>
        <w:tc>
          <w:tcPr>
            <w:tcW w:w="697" w:type="dxa"/>
            <w:gridSpan w:val="2"/>
            <w:vAlign w:val="center"/>
          </w:tcPr>
          <w:p w14:paraId="1F237DBA" w14:textId="77777777" w:rsidR="00AF381F" w:rsidRPr="0014137C" w:rsidRDefault="00AF381F" w:rsidP="00D1389C">
            <w:pPr>
              <w:pStyle w:val="CETBodytext"/>
              <w:spacing w:line="240" w:lineRule="auto"/>
              <w:jc w:val="right"/>
              <w:rPr>
                <w:rFonts w:cs="Arial"/>
                <w:szCs w:val="18"/>
              </w:rPr>
            </w:pPr>
            <w:r w:rsidRPr="0014137C">
              <w:rPr>
                <w:rFonts w:cs="Arial"/>
                <w:szCs w:val="18"/>
              </w:rPr>
              <w:t>(2)</w:t>
            </w:r>
          </w:p>
        </w:tc>
      </w:tr>
      <w:tr w:rsidR="00AF381F" w:rsidRPr="0014137C" w14:paraId="21F22D6C" w14:textId="77777777" w:rsidTr="00D1389C">
        <w:tblPrEx>
          <w:jc w:val="left"/>
        </w:tblPrEx>
        <w:trPr>
          <w:gridAfter w:val="1"/>
          <w:wAfter w:w="10" w:type="dxa"/>
        </w:trPr>
        <w:tc>
          <w:tcPr>
            <w:tcW w:w="8080" w:type="dxa"/>
            <w:vAlign w:val="center"/>
          </w:tcPr>
          <w:p w14:paraId="019E9F0E" w14:textId="2E3C9595" w:rsidR="00AF381F" w:rsidRPr="0014137C" w:rsidRDefault="00483E52" w:rsidP="00D1389C">
            <w:pPr>
              <w:pStyle w:val="CETBodytext"/>
              <w:spacing w:line="240" w:lineRule="auto"/>
              <w:jc w:val="right"/>
              <w:rPr>
                <w:szCs w:val="18"/>
              </w:rPr>
            </w:pPr>
            <m:oMathPara>
              <m:oMathParaPr>
                <m:jc m:val="left"/>
              </m:oMathParaPr>
              <m:oMath>
                <m:nary>
                  <m:naryPr>
                    <m:chr m:val="∑"/>
                    <m:limLoc m:val="undOvr"/>
                    <m:ctrlPr>
                      <w:rPr>
                        <w:rFonts w:ascii="Cambria Math" w:hAnsi="Cambria Math" w:cs="Arial"/>
                        <w:i/>
                        <w:szCs w:val="18"/>
                      </w:rPr>
                    </m:ctrlPr>
                  </m:naryPr>
                  <m:sub>
                    <m:r>
                      <w:rPr>
                        <w:rFonts w:ascii="Cambria Math" w:hAnsi="Cambria Math" w:cs="Arial"/>
                        <w:szCs w:val="18"/>
                      </w:rPr>
                      <m:t>i</m:t>
                    </m:r>
                    <m:r>
                      <w:rPr>
                        <w:rFonts w:ascii="Cambria Math" w:hAnsi="Cambria Math" w:cs="Arial"/>
                        <w:szCs w:val="18"/>
                      </w:rPr>
                      <m:t>=1</m:t>
                    </m:r>
                  </m:sub>
                  <m:sup>
                    <m:r>
                      <w:rPr>
                        <w:rFonts w:ascii="Cambria Math" w:hAnsi="Cambria Math" w:cs="Arial"/>
                        <w:szCs w:val="18"/>
                      </w:rPr>
                      <m:t>NC</m:t>
                    </m:r>
                  </m:sup>
                  <m:e>
                    <m:sSub>
                      <m:sSubPr>
                        <m:ctrlPr>
                          <w:rPr>
                            <w:rFonts w:ascii="Cambria Math" w:hAnsi="Cambria Math" w:cs="Arial"/>
                            <w:i/>
                            <w:szCs w:val="18"/>
                          </w:rPr>
                        </m:ctrlPr>
                      </m:sSubPr>
                      <m:e>
                        <m:r>
                          <w:rPr>
                            <w:rFonts w:ascii="Cambria Math" w:hAnsi="Cambria Math" w:cs="Arial"/>
                            <w:szCs w:val="18"/>
                          </w:rPr>
                          <m:t>a</m:t>
                        </m:r>
                      </m:e>
                      <m:sub>
                        <m:r>
                          <w:rPr>
                            <w:rFonts w:ascii="Cambria Math" w:hAnsi="Cambria Math" w:cs="Arial"/>
                            <w:szCs w:val="18"/>
                          </w:rPr>
                          <m:t>mi</m:t>
                        </m:r>
                      </m:sub>
                    </m:sSub>
                    <m:d>
                      <m:dPr>
                        <m:ctrlPr>
                          <w:rPr>
                            <w:rFonts w:ascii="Cambria Math" w:hAnsi="Cambria Math" w:cs="Arial"/>
                            <w:i/>
                            <w:szCs w:val="18"/>
                          </w:rPr>
                        </m:ctrlPr>
                      </m:dPr>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g</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l</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s</m:t>
                            </m:r>
                          </m:sup>
                        </m:sSubSup>
                      </m:e>
                    </m:d>
                    <m:r>
                      <w:rPr>
                        <w:rFonts w:ascii="Cambria Math" w:hAnsi="Cambria Math" w:cs="Arial"/>
                        <w:szCs w:val="18"/>
                      </w:rPr>
                      <m:t>=</m:t>
                    </m:r>
                  </m:e>
                </m:nary>
                <m:nary>
                  <m:naryPr>
                    <m:chr m:val="∑"/>
                    <m:limLoc m:val="undOvr"/>
                    <m:ctrlPr>
                      <w:rPr>
                        <w:rFonts w:ascii="Cambria Math" w:hAnsi="Cambria Math" w:cs="Arial"/>
                        <w:i/>
                        <w:szCs w:val="18"/>
                      </w:rPr>
                    </m:ctrlPr>
                  </m:naryPr>
                  <m:sub>
                    <m:r>
                      <w:rPr>
                        <w:rFonts w:ascii="Cambria Math" w:hAnsi="Cambria Math" w:cs="Arial"/>
                        <w:szCs w:val="18"/>
                      </w:rPr>
                      <m:t>i</m:t>
                    </m:r>
                    <m:r>
                      <w:rPr>
                        <w:rFonts w:ascii="Cambria Math" w:hAnsi="Cambria Math" w:cs="Arial"/>
                        <w:szCs w:val="18"/>
                      </w:rPr>
                      <m:t>=1</m:t>
                    </m:r>
                  </m:sub>
                  <m:sup>
                    <m:r>
                      <w:rPr>
                        <w:rFonts w:ascii="Cambria Math" w:hAnsi="Cambria Math" w:cs="Arial"/>
                        <w:szCs w:val="18"/>
                      </w:rPr>
                      <m:t>NC</m:t>
                    </m:r>
                  </m:sup>
                  <m:e>
                    <m:sSub>
                      <m:sSubPr>
                        <m:ctrlPr>
                          <w:rPr>
                            <w:rFonts w:ascii="Cambria Math" w:hAnsi="Cambria Math" w:cs="Arial"/>
                            <w:i/>
                            <w:szCs w:val="18"/>
                          </w:rPr>
                        </m:ctrlPr>
                      </m:sSubPr>
                      <m:e>
                        <m:r>
                          <w:rPr>
                            <w:rFonts w:ascii="Cambria Math" w:hAnsi="Cambria Math" w:cs="Arial"/>
                            <w:szCs w:val="18"/>
                          </w:rPr>
                          <m:t>a</m:t>
                        </m:r>
                      </m:e>
                      <m:sub>
                        <m:r>
                          <w:rPr>
                            <w:rFonts w:ascii="Cambria Math" w:hAnsi="Cambria Math" w:cs="Arial"/>
                            <w:szCs w:val="18"/>
                          </w:rPr>
                          <m:t>mi</m:t>
                        </m:r>
                      </m:sub>
                    </m:sSub>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0</m:t>
                        </m:r>
                      </m:sup>
                    </m:sSubSup>
                  </m:e>
                </m:nary>
                <m:r>
                  <w:rPr>
                    <w:rFonts w:ascii="Cambria Math" w:hAnsi="Cambria Math" w:cs="Arial"/>
                    <w:szCs w:val="18"/>
                  </w:rPr>
                  <m:t xml:space="preserve">,            </m:t>
                </m:r>
                <m:r>
                  <w:rPr>
                    <w:rFonts w:ascii="Cambria Math" w:hAnsi="Cambria Math" w:cs="Arial"/>
                    <w:szCs w:val="18"/>
                  </w:rPr>
                  <m:t>m</m:t>
                </m:r>
                <m:r>
                  <w:rPr>
                    <w:rFonts w:ascii="Cambria Math" w:hAnsi="Cambria Math" w:cs="Arial"/>
                    <w:szCs w:val="18"/>
                  </w:rPr>
                  <m:t>=1,…,</m:t>
                </m:r>
                <m:r>
                  <w:rPr>
                    <w:rFonts w:ascii="Cambria Math" w:hAnsi="Cambria Math" w:cs="Arial"/>
                    <w:szCs w:val="18"/>
                  </w:rPr>
                  <m:t>NE</m:t>
                </m:r>
              </m:oMath>
            </m:oMathPara>
          </w:p>
        </w:tc>
        <w:tc>
          <w:tcPr>
            <w:tcW w:w="697" w:type="dxa"/>
            <w:gridSpan w:val="2"/>
            <w:vAlign w:val="center"/>
          </w:tcPr>
          <w:p w14:paraId="3D4883B9" w14:textId="6524D03B" w:rsidR="00AF381F" w:rsidRPr="0014137C" w:rsidRDefault="00AF381F" w:rsidP="00D1389C">
            <w:pPr>
              <w:pStyle w:val="CETBodytext"/>
              <w:spacing w:line="240" w:lineRule="auto"/>
              <w:jc w:val="right"/>
              <w:rPr>
                <w:rFonts w:cs="Arial"/>
                <w:szCs w:val="18"/>
              </w:rPr>
            </w:pPr>
            <w:r w:rsidRPr="0014137C">
              <w:rPr>
                <w:rFonts w:cs="Arial"/>
                <w:szCs w:val="18"/>
              </w:rPr>
              <w:t>(3)</w:t>
            </w:r>
          </w:p>
        </w:tc>
      </w:tr>
      <w:tr w:rsidR="00AF381F" w:rsidRPr="0014137C" w14:paraId="1232F89E" w14:textId="77777777" w:rsidTr="00D1389C">
        <w:tblPrEx>
          <w:jc w:val="left"/>
        </w:tblPrEx>
        <w:tc>
          <w:tcPr>
            <w:tcW w:w="8351" w:type="dxa"/>
            <w:gridSpan w:val="2"/>
            <w:vAlign w:val="center"/>
          </w:tcPr>
          <w:p w14:paraId="1BDDA6C3" w14:textId="4DAE457B" w:rsidR="00AF381F" w:rsidRPr="0014137C" w:rsidRDefault="00483E52" w:rsidP="00D1389C">
            <w:pPr>
              <w:pStyle w:val="CETBodytext"/>
              <w:spacing w:line="240" w:lineRule="auto"/>
              <w:jc w:val="right"/>
              <w:rPr>
                <w:rFonts w:cs="Arial"/>
                <w:szCs w:val="18"/>
              </w:rPr>
            </w:pPr>
            <m:oMathPara>
              <m:oMathParaPr>
                <m:jc m:val="left"/>
              </m:oMathParaPr>
              <m:oMath>
                <m:nary>
                  <m:naryPr>
                    <m:chr m:val="∑"/>
                    <m:limLoc m:val="undOvr"/>
                    <m:ctrlPr>
                      <w:rPr>
                        <w:rFonts w:ascii="Cambria Math" w:hAnsi="Cambria Math" w:cs="Arial"/>
                        <w:i/>
                        <w:szCs w:val="18"/>
                      </w:rPr>
                    </m:ctrlPr>
                  </m:naryPr>
                  <m:sub>
                    <m:r>
                      <w:rPr>
                        <w:rFonts w:ascii="Cambria Math" w:hAnsi="Cambria Math" w:cs="Arial"/>
                        <w:szCs w:val="18"/>
                      </w:rPr>
                      <m:t>I</m:t>
                    </m:r>
                    <m:r>
                      <w:rPr>
                        <w:rFonts w:ascii="Cambria Math" w:hAnsi="Cambria Math" w:cs="Arial"/>
                        <w:szCs w:val="18"/>
                      </w:rPr>
                      <m:t>=1</m:t>
                    </m:r>
                  </m:sub>
                  <m:sup>
                    <m:r>
                      <w:rPr>
                        <w:rFonts w:ascii="Cambria Math" w:hAnsi="Cambria Math" w:cs="Arial"/>
                        <w:szCs w:val="18"/>
                      </w:rPr>
                      <m:t>NC</m:t>
                    </m:r>
                  </m:sup>
                  <m:e>
                    <m:d>
                      <m:dPr>
                        <m:ctrlPr>
                          <w:rPr>
                            <w:rFonts w:ascii="Cambria Math" w:hAnsi="Cambria Math" w:cs="Arial"/>
                            <w:i/>
                            <w:szCs w:val="18"/>
                          </w:rPr>
                        </m:ctrlPr>
                      </m:dPr>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g</m:t>
                            </m:r>
                          </m:sup>
                        </m:sSubSup>
                        <m:sSubSup>
                          <m:sSubSupPr>
                            <m:ctrlPr>
                              <w:rPr>
                                <w:rFonts w:ascii="Cambria Math" w:hAnsi="Cambria Math" w:cs="Arial"/>
                                <w:i/>
                                <w:szCs w:val="18"/>
                              </w:rPr>
                            </m:ctrlPr>
                          </m:sSubSupPr>
                          <m:e>
                            <m:r>
                              <w:rPr>
                                <w:rFonts w:ascii="Cambria Math" w:hAnsi="Cambria Math" w:cs="Arial"/>
                                <w:szCs w:val="18"/>
                              </w:rPr>
                              <m:t>H</m:t>
                            </m:r>
                          </m:e>
                          <m:sub>
                            <m:r>
                              <w:rPr>
                                <w:rFonts w:ascii="Cambria Math" w:hAnsi="Cambria Math" w:cs="Arial"/>
                                <w:szCs w:val="18"/>
                              </w:rPr>
                              <m:t>i</m:t>
                            </m:r>
                          </m:sub>
                          <m:sup>
                            <m:r>
                              <w:rPr>
                                <w:rFonts w:ascii="Cambria Math" w:hAnsi="Cambria Math" w:cs="Arial"/>
                                <w:szCs w:val="18"/>
                              </w:rPr>
                              <m:t>g</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l</m:t>
                            </m:r>
                          </m:sup>
                        </m:sSubSup>
                        <m:sSubSup>
                          <m:sSubSupPr>
                            <m:ctrlPr>
                              <w:rPr>
                                <w:rFonts w:ascii="Cambria Math" w:hAnsi="Cambria Math" w:cs="Arial"/>
                                <w:i/>
                                <w:szCs w:val="18"/>
                              </w:rPr>
                            </m:ctrlPr>
                          </m:sSubSupPr>
                          <m:e>
                            <m:r>
                              <w:rPr>
                                <w:rFonts w:ascii="Cambria Math" w:hAnsi="Cambria Math" w:cs="Arial"/>
                                <w:szCs w:val="18"/>
                              </w:rPr>
                              <m:t>H</m:t>
                            </m:r>
                          </m:e>
                          <m:sub>
                            <m:r>
                              <w:rPr>
                                <w:rFonts w:ascii="Cambria Math" w:hAnsi="Cambria Math" w:cs="Arial"/>
                                <w:szCs w:val="18"/>
                              </w:rPr>
                              <m:t>i</m:t>
                            </m:r>
                          </m:sub>
                          <m:sup>
                            <m:r>
                              <w:rPr>
                                <w:rFonts w:ascii="Cambria Math" w:hAnsi="Cambria Math" w:cs="Arial"/>
                                <w:szCs w:val="18"/>
                              </w:rPr>
                              <m:t>l</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s</m:t>
                            </m:r>
                          </m:sup>
                        </m:sSubSup>
                        <m:sSubSup>
                          <m:sSubSupPr>
                            <m:ctrlPr>
                              <w:rPr>
                                <w:rFonts w:ascii="Cambria Math" w:hAnsi="Cambria Math" w:cs="Arial"/>
                                <w:i/>
                                <w:szCs w:val="18"/>
                              </w:rPr>
                            </m:ctrlPr>
                          </m:sSubSupPr>
                          <m:e>
                            <m:r>
                              <w:rPr>
                                <w:rFonts w:ascii="Cambria Math" w:hAnsi="Cambria Math" w:cs="Arial"/>
                                <w:szCs w:val="18"/>
                              </w:rPr>
                              <m:t>H</m:t>
                            </m:r>
                          </m:e>
                          <m:sub>
                            <m:r>
                              <w:rPr>
                                <w:rFonts w:ascii="Cambria Math" w:hAnsi="Cambria Math" w:cs="Arial"/>
                                <w:szCs w:val="18"/>
                              </w:rPr>
                              <m:t>i</m:t>
                            </m:r>
                          </m:sub>
                          <m:sup>
                            <m:r>
                              <w:rPr>
                                <w:rFonts w:ascii="Cambria Math" w:hAnsi="Cambria Math" w:cs="Arial"/>
                                <w:szCs w:val="18"/>
                              </w:rPr>
                              <m:t>s</m:t>
                            </m:r>
                          </m:sup>
                        </m:sSubSup>
                      </m:e>
                    </m:d>
                  </m:e>
                </m:nary>
                <m:r>
                  <w:rPr>
                    <w:rFonts w:ascii="Cambria Math" w:hAnsi="Cambria Math" w:cs="Arial"/>
                    <w:szCs w:val="18"/>
                  </w:rPr>
                  <m:t>=</m:t>
                </m:r>
                <m:nary>
                  <m:naryPr>
                    <m:chr m:val="∑"/>
                    <m:limLoc m:val="undOvr"/>
                    <m:ctrlPr>
                      <w:rPr>
                        <w:rFonts w:ascii="Cambria Math" w:hAnsi="Cambria Math" w:cs="Arial"/>
                        <w:i/>
                        <w:szCs w:val="18"/>
                      </w:rPr>
                    </m:ctrlPr>
                  </m:naryPr>
                  <m:sub>
                    <m:r>
                      <w:rPr>
                        <w:rFonts w:ascii="Cambria Math" w:hAnsi="Cambria Math" w:cs="Arial"/>
                        <w:szCs w:val="18"/>
                      </w:rPr>
                      <m:t>i</m:t>
                    </m:r>
                    <m:r>
                      <w:rPr>
                        <w:rFonts w:ascii="Cambria Math" w:hAnsi="Cambria Math" w:cs="Arial"/>
                        <w:szCs w:val="18"/>
                      </w:rPr>
                      <m:t>=1</m:t>
                    </m:r>
                  </m:sub>
                  <m:sup>
                    <m:r>
                      <w:rPr>
                        <w:rFonts w:ascii="Cambria Math" w:hAnsi="Cambria Math" w:cs="Arial"/>
                        <w:szCs w:val="18"/>
                      </w:rPr>
                      <m:t>NC</m:t>
                    </m:r>
                  </m:sup>
                  <m:e>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0</m:t>
                        </m:r>
                      </m:sup>
                    </m:sSubSup>
                    <m:sSubSup>
                      <m:sSubSupPr>
                        <m:ctrlPr>
                          <w:rPr>
                            <w:rFonts w:ascii="Cambria Math" w:hAnsi="Cambria Math" w:cs="Arial"/>
                            <w:i/>
                            <w:szCs w:val="18"/>
                          </w:rPr>
                        </m:ctrlPr>
                      </m:sSubSupPr>
                      <m:e>
                        <m:r>
                          <w:rPr>
                            <w:rFonts w:ascii="Cambria Math" w:hAnsi="Cambria Math" w:cs="Arial"/>
                            <w:szCs w:val="18"/>
                          </w:rPr>
                          <m:t>H</m:t>
                        </m:r>
                      </m:e>
                      <m:sub>
                        <m:r>
                          <w:rPr>
                            <w:rFonts w:ascii="Cambria Math" w:hAnsi="Cambria Math" w:cs="Arial"/>
                            <w:szCs w:val="18"/>
                          </w:rPr>
                          <m:t>i</m:t>
                        </m:r>
                      </m:sub>
                      <m:sup>
                        <m:r>
                          <w:rPr>
                            <w:rFonts w:ascii="Cambria Math" w:hAnsi="Cambria Math" w:cs="Arial"/>
                            <w:szCs w:val="18"/>
                          </w:rPr>
                          <m:t>0</m:t>
                        </m:r>
                      </m:sup>
                    </m:sSubSup>
                  </m:e>
                </m:nary>
                <m:r>
                  <w:rPr>
                    <w:rFonts w:ascii="Cambria Math" w:hAnsi="Cambria Math" w:cs="Arial"/>
                    <w:szCs w:val="18"/>
                  </w:rPr>
                  <m:t>=</m:t>
                </m:r>
                <m:sSup>
                  <m:sSupPr>
                    <m:ctrlPr>
                      <w:rPr>
                        <w:rFonts w:ascii="Cambria Math" w:hAnsi="Cambria Math" w:cs="Arial"/>
                        <w:i/>
                        <w:szCs w:val="18"/>
                      </w:rPr>
                    </m:ctrlPr>
                  </m:sSupPr>
                  <m:e>
                    <m:r>
                      <w:rPr>
                        <w:rFonts w:ascii="Cambria Math" w:hAnsi="Cambria Math" w:cs="Arial"/>
                        <w:szCs w:val="18"/>
                      </w:rPr>
                      <m:t>H</m:t>
                    </m:r>
                  </m:e>
                  <m:sup>
                    <m:r>
                      <w:rPr>
                        <w:rFonts w:ascii="Cambria Math" w:hAnsi="Cambria Math" w:cs="Arial"/>
                        <w:szCs w:val="18"/>
                      </w:rPr>
                      <m:t>0</m:t>
                    </m:r>
                  </m:sup>
                </m:sSup>
                <m:r>
                  <w:rPr>
                    <w:rFonts w:ascii="Cambria Math" w:hAnsi="Cambria Math" w:cs="Arial"/>
                    <w:szCs w:val="18"/>
                  </w:rPr>
                  <m:t xml:space="preserve">      ,             </m:t>
                </m:r>
                <m:r>
                  <w:rPr>
                    <w:rFonts w:ascii="Cambria Math" w:hAnsi="Cambria Math" w:cs="Arial"/>
                    <w:szCs w:val="18"/>
                  </w:rPr>
                  <m:t>T</m:t>
                </m:r>
                <m:r>
                  <w:rPr>
                    <w:rFonts w:ascii="Cambria Math" w:hAnsi="Cambria Math" w:cs="Arial"/>
                    <w:szCs w:val="18"/>
                  </w:rPr>
                  <m:t>≥0</m:t>
                </m:r>
              </m:oMath>
            </m:oMathPara>
          </w:p>
        </w:tc>
        <w:tc>
          <w:tcPr>
            <w:tcW w:w="436" w:type="dxa"/>
            <w:gridSpan w:val="2"/>
            <w:vAlign w:val="center"/>
          </w:tcPr>
          <w:p w14:paraId="215342B6" w14:textId="7FCF5592" w:rsidR="00AF381F" w:rsidRPr="0014137C" w:rsidRDefault="00AF381F" w:rsidP="00D1389C">
            <w:pPr>
              <w:pStyle w:val="CETBodytext"/>
              <w:spacing w:line="240" w:lineRule="auto"/>
              <w:jc w:val="right"/>
              <w:rPr>
                <w:rFonts w:cs="Arial"/>
                <w:szCs w:val="18"/>
              </w:rPr>
            </w:pPr>
            <w:r w:rsidRPr="0014137C">
              <w:rPr>
                <w:rFonts w:cs="Arial"/>
                <w:szCs w:val="18"/>
              </w:rPr>
              <w:t>(4)</w:t>
            </w:r>
          </w:p>
        </w:tc>
      </w:tr>
      <w:tr w:rsidR="00AF381F" w:rsidRPr="0014137C" w14:paraId="690AF380" w14:textId="77777777" w:rsidTr="00D1389C">
        <w:tblPrEx>
          <w:jc w:val="left"/>
        </w:tblPrEx>
        <w:tc>
          <w:tcPr>
            <w:tcW w:w="8351" w:type="dxa"/>
            <w:gridSpan w:val="2"/>
            <w:vAlign w:val="center"/>
          </w:tcPr>
          <w:p w14:paraId="732E3541" w14:textId="159FCBAA" w:rsidR="00AF381F" w:rsidRPr="0014137C" w:rsidRDefault="00483E52" w:rsidP="00D1389C">
            <w:pPr>
              <w:pStyle w:val="CETBodytext"/>
              <w:spacing w:line="240" w:lineRule="auto"/>
              <w:jc w:val="right"/>
              <w:rPr>
                <w:szCs w:val="18"/>
              </w:rPr>
            </w:pPr>
            <m:oMathPara>
              <m:oMathParaPr>
                <m:jc m:val="left"/>
              </m:oMathParaPr>
              <m:oMath>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g</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l</m:t>
                    </m:r>
                  </m:sup>
                </m:sSubSup>
                <m:r>
                  <w:rPr>
                    <w:rFonts w:ascii="Cambria Math" w:hAnsi="Cambria Math" w:cs="Arial"/>
                    <w:szCs w:val="18"/>
                  </w:rPr>
                  <m:t>,</m:t>
                </m:r>
                <m:sSubSup>
                  <m:sSubSupPr>
                    <m:ctrlPr>
                      <w:rPr>
                        <w:rFonts w:ascii="Cambria Math" w:hAnsi="Cambria Math" w:cs="Arial"/>
                        <w:i/>
                        <w:szCs w:val="18"/>
                      </w:rPr>
                    </m:ctrlPr>
                  </m:sSubSupPr>
                  <m:e>
                    <m:r>
                      <w:rPr>
                        <w:rFonts w:ascii="Cambria Math" w:hAnsi="Cambria Math" w:cs="Arial"/>
                        <w:szCs w:val="18"/>
                      </w:rPr>
                      <m:t>n</m:t>
                    </m:r>
                  </m:e>
                  <m:sub>
                    <m:r>
                      <w:rPr>
                        <w:rFonts w:ascii="Cambria Math" w:hAnsi="Cambria Math" w:cs="Arial"/>
                        <w:szCs w:val="18"/>
                      </w:rPr>
                      <m:t>i</m:t>
                    </m:r>
                  </m:sub>
                  <m:sup>
                    <m:r>
                      <w:rPr>
                        <w:rFonts w:ascii="Cambria Math" w:hAnsi="Cambria Math" w:cs="Arial"/>
                        <w:szCs w:val="18"/>
                      </w:rPr>
                      <m:t>s</m:t>
                    </m:r>
                  </m:sup>
                </m:sSubSup>
                <m:r>
                  <w:rPr>
                    <w:rFonts w:ascii="Cambria Math" w:hAnsi="Cambria Math" w:cs="Arial"/>
                    <w:szCs w:val="18"/>
                  </w:rPr>
                  <m:t>≥0</m:t>
                </m:r>
              </m:oMath>
            </m:oMathPara>
          </w:p>
        </w:tc>
        <w:tc>
          <w:tcPr>
            <w:tcW w:w="436" w:type="dxa"/>
            <w:gridSpan w:val="2"/>
            <w:vAlign w:val="center"/>
          </w:tcPr>
          <w:p w14:paraId="4EBDF91F" w14:textId="7845B234" w:rsidR="00AF381F" w:rsidRPr="0014137C" w:rsidRDefault="00AF381F" w:rsidP="00D1389C">
            <w:pPr>
              <w:pStyle w:val="CETBodytext"/>
              <w:spacing w:line="240" w:lineRule="auto"/>
              <w:jc w:val="right"/>
              <w:rPr>
                <w:rFonts w:cs="Arial"/>
                <w:szCs w:val="18"/>
              </w:rPr>
            </w:pPr>
            <w:r w:rsidRPr="0014137C">
              <w:rPr>
                <w:rFonts w:cs="Arial"/>
                <w:szCs w:val="18"/>
              </w:rPr>
              <w:t>(5)</w:t>
            </w:r>
          </w:p>
        </w:tc>
      </w:tr>
    </w:tbl>
    <w:p w14:paraId="5EE8B206" w14:textId="26DCEE8E" w:rsidR="00B061D8" w:rsidRPr="0014137C" w:rsidRDefault="00B061D8" w:rsidP="00900358">
      <w:pPr>
        <w:pStyle w:val="CETBodytext"/>
        <w:spacing w:before="120"/>
      </w:pPr>
      <w:r w:rsidRPr="0014137C">
        <w:t>A total of 1</w:t>
      </w:r>
      <w:r w:rsidR="00167ACC" w:rsidRPr="0014137C">
        <w:t>5</w:t>
      </w:r>
      <w:r w:rsidRPr="0014137C">
        <w:t xml:space="preserve"> potential components were considered in the SCWG equilibrium modeling, representing the main compounds expected to form during biomass gasification, based on consolidated evidence from literature (</w:t>
      </w:r>
      <w:r w:rsidR="00785E2D" w:rsidRPr="0014137C">
        <w:t>Li et al., 2022</w:t>
      </w:r>
      <w:r w:rsidR="003B0ACE" w:rsidRPr="0014137C">
        <w:t>)</w:t>
      </w:r>
      <w:r w:rsidRPr="0014137C">
        <w:t xml:space="preserve"> including: </w:t>
      </w:r>
      <w:r w:rsidR="00F633A0" w:rsidRPr="0014137C">
        <w:t>H</w:t>
      </w:r>
      <w:r w:rsidR="00F633A0" w:rsidRPr="0014137C">
        <w:rPr>
          <w:rFonts w:ascii="Cambria Math" w:hAnsi="Cambria Math" w:cs="Cambria Math"/>
        </w:rPr>
        <w:t>₂</w:t>
      </w:r>
      <w:r w:rsidR="00F633A0" w:rsidRPr="0014137C">
        <w:t>O, H</w:t>
      </w:r>
      <w:r w:rsidR="00F633A0" w:rsidRPr="0014137C">
        <w:rPr>
          <w:rFonts w:ascii="Cambria Math" w:hAnsi="Cambria Math" w:cs="Cambria Math"/>
        </w:rPr>
        <w:t>₂</w:t>
      </w:r>
      <w:r w:rsidR="00F633A0" w:rsidRPr="0014137C">
        <w:t>, CH</w:t>
      </w:r>
      <w:r w:rsidR="00F633A0" w:rsidRPr="0014137C">
        <w:rPr>
          <w:rFonts w:ascii="Cambria Math" w:hAnsi="Cambria Math" w:cs="Cambria Math"/>
        </w:rPr>
        <w:t>₄</w:t>
      </w:r>
      <w:r w:rsidR="00F633A0" w:rsidRPr="0014137C">
        <w:t>, CO</w:t>
      </w:r>
      <w:r w:rsidR="00F633A0" w:rsidRPr="0014137C">
        <w:rPr>
          <w:rFonts w:ascii="Cambria Math" w:hAnsi="Cambria Math" w:cs="Cambria Math"/>
        </w:rPr>
        <w:t>₂</w:t>
      </w:r>
      <w:r w:rsidR="00F633A0" w:rsidRPr="0014137C">
        <w:t>, CO, O</w:t>
      </w:r>
      <w:r w:rsidR="00F633A0" w:rsidRPr="0014137C">
        <w:rPr>
          <w:rFonts w:ascii="Cambria Math" w:hAnsi="Cambria Math" w:cs="Cambria Math"/>
        </w:rPr>
        <w:t>₂</w:t>
      </w:r>
      <w:r w:rsidR="00F633A0" w:rsidRPr="0014137C">
        <w:t>, N</w:t>
      </w:r>
      <w:r w:rsidR="00F633A0" w:rsidRPr="0014137C">
        <w:rPr>
          <w:rFonts w:ascii="Cambria Math" w:hAnsi="Cambria Math" w:cs="Cambria Math"/>
        </w:rPr>
        <w:t>₂</w:t>
      </w:r>
      <w:r w:rsidR="00F633A0" w:rsidRPr="0014137C">
        <w:t>, CH</w:t>
      </w:r>
      <w:r w:rsidR="00F633A0" w:rsidRPr="0014137C">
        <w:rPr>
          <w:rFonts w:ascii="Cambria Math" w:hAnsi="Cambria Math" w:cs="Cambria Math"/>
        </w:rPr>
        <w:t>₄</w:t>
      </w:r>
      <w:r w:rsidR="00F633A0" w:rsidRPr="0014137C">
        <w:t>O, C</w:t>
      </w:r>
      <w:r w:rsidR="00F633A0" w:rsidRPr="0014137C">
        <w:rPr>
          <w:rFonts w:ascii="Cambria Math" w:hAnsi="Cambria Math" w:cs="Cambria Math"/>
        </w:rPr>
        <w:t>₂</w:t>
      </w:r>
      <w:r w:rsidR="00F633A0" w:rsidRPr="0014137C">
        <w:t>H</w:t>
      </w:r>
      <w:r w:rsidR="00F633A0" w:rsidRPr="0014137C">
        <w:rPr>
          <w:rFonts w:ascii="Cambria Math" w:hAnsi="Cambria Math" w:cs="Cambria Math"/>
        </w:rPr>
        <w:t>₆</w:t>
      </w:r>
      <w:r w:rsidR="00F633A0" w:rsidRPr="0014137C">
        <w:t>, C</w:t>
      </w:r>
      <w:r w:rsidR="00F633A0" w:rsidRPr="0014137C">
        <w:rPr>
          <w:rFonts w:ascii="Cambria Math" w:hAnsi="Cambria Math" w:cs="Cambria Math"/>
        </w:rPr>
        <w:t>₃</w:t>
      </w:r>
      <w:r w:rsidR="00F633A0" w:rsidRPr="0014137C">
        <w:t>H</w:t>
      </w:r>
      <w:r w:rsidR="00F633A0" w:rsidRPr="0014137C">
        <w:rPr>
          <w:rFonts w:ascii="Cambria Math" w:hAnsi="Cambria Math" w:cs="Cambria Math"/>
        </w:rPr>
        <w:t>₈</w:t>
      </w:r>
      <w:r w:rsidR="00F633A0" w:rsidRPr="0014137C">
        <w:t>, NH</w:t>
      </w:r>
      <w:r w:rsidR="00F633A0" w:rsidRPr="0014137C">
        <w:rPr>
          <w:rFonts w:ascii="Cambria Math" w:hAnsi="Cambria Math" w:cs="Cambria Math"/>
        </w:rPr>
        <w:t>₃</w:t>
      </w:r>
      <w:r w:rsidR="00167ACC" w:rsidRPr="0014137C">
        <w:rPr>
          <w:rFonts w:ascii="Cambria Math" w:hAnsi="Cambria Math" w:cs="Cambria Math"/>
        </w:rPr>
        <w:t>, SO</w:t>
      </w:r>
      <w:r w:rsidR="00167ACC" w:rsidRPr="0014137C">
        <w:rPr>
          <w:rFonts w:ascii="Cambria Math" w:hAnsi="Cambria Math" w:cs="Cambria Math"/>
          <w:vertAlign w:val="subscript"/>
        </w:rPr>
        <w:t>2</w:t>
      </w:r>
      <w:r w:rsidR="00167ACC" w:rsidRPr="0014137C">
        <w:rPr>
          <w:rFonts w:ascii="Cambria Math" w:hAnsi="Cambria Math" w:cs="Cambria Math"/>
        </w:rPr>
        <w:t>, SO</w:t>
      </w:r>
      <w:r w:rsidR="00167ACC" w:rsidRPr="0014137C">
        <w:rPr>
          <w:rFonts w:ascii="Cambria Math" w:hAnsi="Cambria Math" w:cs="Cambria Math"/>
          <w:vertAlign w:val="subscript"/>
        </w:rPr>
        <w:t>3</w:t>
      </w:r>
      <w:r w:rsidR="00167ACC" w:rsidRPr="0014137C">
        <w:rPr>
          <w:rFonts w:ascii="Cambria Math" w:hAnsi="Cambria Math" w:cs="Cambria Math"/>
        </w:rPr>
        <w:t>,</w:t>
      </w:r>
      <w:r w:rsidR="00F633A0" w:rsidRPr="0014137C">
        <w:t xml:space="preserve"> </w:t>
      </w:r>
      <w:r w:rsidR="00167ACC" w:rsidRPr="0014137C">
        <w:t>H</w:t>
      </w:r>
      <w:r w:rsidR="00167ACC" w:rsidRPr="0014137C">
        <w:rPr>
          <w:vertAlign w:val="subscript"/>
        </w:rPr>
        <w:t>2</w:t>
      </w:r>
      <w:r w:rsidR="00167ACC" w:rsidRPr="0014137C">
        <w:t xml:space="preserve">S </w:t>
      </w:r>
      <w:r w:rsidR="00F633A0" w:rsidRPr="0014137C">
        <w:t>and C</w:t>
      </w:r>
      <w:r w:rsidR="00F633A0" w:rsidRPr="0014137C">
        <w:rPr>
          <w:rFonts w:ascii="Cambria Math" w:hAnsi="Cambria Math" w:cs="Cambria Math"/>
        </w:rPr>
        <w:t>₂</w:t>
      </w:r>
      <w:r w:rsidR="00F633A0" w:rsidRPr="0014137C">
        <w:t>H</w:t>
      </w:r>
      <w:r w:rsidR="00F633A0" w:rsidRPr="0014137C">
        <w:rPr>
          <w:rFonts w:ascii="Cambria Math" w:hAnsi="Cambria Math" w:cs="Cambria Math"/>
        </w:rPr>
        <w:t>₄</w:t>
      </w:r>
      <w:r w:rsidRPr="0014137C">
        <w:t xml:space="preserve">. </w:t>
      </w:r>
      <w:r w:rsidR="00E56A90" w:rsidRPr="0014137C">
        <w:t>Pure solid carbon (C</w:t>
      </w:r>
      <w:r w:rsidR="00E56A90" w:rsidRPr="0014137C">
        <w:rPr>
          <w:vertAlign w:val="subscript"/>
        </w:rPr>
        <w:t>(s)</w:t>
      </w:r>
      <w:r w:rsidR="00E56A90" w:rsidRPr="0014137C">
        <w:t xml:space="preserve">) was considered as the unique component in the solid phase. </w:t>
      </w:r>
      <w:r w:rsidRPr="0014137C">
        <w:t>The SCWG process was evaluated under temperatures ranging from 450 to 750 °C, pressures between 25 and 35 MPa, and biomass loadings from 3 to 15 wt%, conditions selected to represent realistic reactor environments, capture thermal severity effects, ensure supercritical water density, and assess hydrogen yield, carbon conversion, and overall system thermodynamic behavior (Barros et al., 2022).</w:t>
      </w:r>
      <w:r w:rsidR="007640ED" w:rsidRPr="0014137C">
        <w:t xml:space="preserve"> </w:t>
      </w:r>
    </w:p>
    <w:p w14:paraId="771C526E" w14:textId="7C5E4031" w:rsidR="00B061D8" w:rsidRPr="0014137C" w:rsidRDefault="00B061D8" w:rsidP="001B2FC2">
      <w:pPr>
        <w:pStyle w:val="CETBodytext"/>
      </w:pPr>
      <w:r w:rsidRPr="0014137C">
        <w:t xml:space="preserve">The NLP problems were solved using TeS (Thermodynamic Equilibrium Simulation) free software combined with the IPOPT solver, chosen due to its suitability for highly nonlinear thermodynamic systems, capability to handle large-scale optimization problems, and robustness in systems involving complex phase interactions. IPOPT has demonstrated high accuracy and computational efficiency in thermodynamic equilibrium simulations and in systems governed by non-smooth behavior (dos Santos Júnior et al., 2025). The non ideal behavior of the system was represented </w:t>
      </w:r>
      <w:r w:rsidR="004B3161" w:rsidRPr="0014137C">
        <w:t>using the</w:t>
      </w:r>
      <w:r w:rsidRPr="0014137C">
        <w:t xml:space="preserve"> Peng Robinson equation of state. </w:t>
      </w:r>
      <w:r w:rsidR="0091468C" w:rsidRPr="0014137C">
        <w:t>More details about the</w:t>
      </w:r>
      <w:r w:rsidRPr="0014137C">
        <w:t xml:space="preserve"> thermodynamic formulation can be found i</w:t>
      </w:r>
      <w:r w:rsidR="00785E2D" w:rsidRPr="0014137C">
        <w:t>n dos Maia et al. (2024) and in Costa et al. (2025).</w:t>
      </w:r>
    </w:p>
    <w:p w14:paraId="78D2E12D" w14:textId="5D514EC7" w:rsidR="00AF1851" w:rsidRPr="0014137C" w:rsidRDefault="00F22B1D" w:rsidP="001B2FC2">
      <w:pPr>
        <w:pStyle w:val="CETHeading1"/>
        <w:numPr>
          <w:ilvl w:val="0"/>
          <w:numId w:val="0"/>
        </w:numPr>
        <w:tabs>
          <w:tab w:val="right" w:pos="7100"/>
        </w:tabs>
        <w:jc w:val="both"/>
        <w:rPr>
          <w:lang w:val="en-GB"/>
        </w:rPr>
      </w:pPr>
      <w:r w:rsidRPr="0014137C">
        <w:rPr>
          <w:lang w:val="en-GB"/>
        </w:rPr>
        <w:t xml:space="preserve">3. </w:t>
      </w:r>
      <w:r w:rsidR="001B2FC2" w:rsidRPr="0014137C">
        <w:rPr>
          <w:lang w:val="en-GB"/>
        </w:rPr>
        <w:t>R</w:t>
      </w:r>
      <w:r w:rsidR="00974546" w:rsidRPr="0014137C">
        <w:rPr>
          <w:lang w:val="en-GB"/>
        </w:rPr>
        <w:t>esults and Discussion</w:t>
      </w:r>
    </w:p>
    <w:p w14:paraId="1A6A26C6" w14:textId="77B44D60" w:rsidR="00F22B1D" w:rsidRPr="0014137C" w:rsidRDefault="004B3161" w:rsidP="00F22B1D">
      <w:pPr>
        <w:pStyle w:val="CETBodytext"/>
        <w:rPr>
          <w:lang w:val="en-GB"/>
        </w:rPr>
      </w:pPr>
      <w:r w:rsidRPr="0014137C">
        <w:rPr>
          <w:lang w:val="en-GB"/>
        </w:rPr>
        <w:t>Figure 1 shows optical micrographs of the processed pequi stone at 2× and 100× magnification, highlighting particle-size heterogeneity and surface fragmentation induced by milling and sieving.</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1"/>
        <w:gridCol w:w="3267"/>
      </w:tblGrid>
      <w:tr w:rsidR="00F22B1D" w:rsidRPr="0014137C" w14:paraId="42693358" w14:textId="77777777" w:rsidTr="006E2412">
        <w:tc>
          <w:tcPr>
            <w:tcW w:w="2261" w:type="dxa"/>
          </w:tcPr>
          <w:p w14:paraId="5C4C6EB0" w14:textId="7190DBA0" w:rsidR="00F22B1D" w:rsidRPr="0014137C" w:rsidRDefault="00F22B1D" w:rsidP="001B2FC2">
            <w:pPr>
              <w:pStyle w:val="CETBodytext"/>
              <w:jc w:val="center"/>
              <w:rPr>
                <w:lang w:val="en-GB"/>
              </w:rPr>
            </w:pPr>
            <w:r w:rsidRPr="0014137C">
              <w:rPr>
                <w:rFonts w:cs="Arial"/>
                <w:noProof/>
                <w:color w:val="000000"/>
                <w:szCs w:val="18"/>
                <w:bdr w:val="none" w:sz="0" w:space="0" w:color="auto" w:frame="1"/>
                <w:lang w:val="pt-BR" w:eastAsia="pt-BR"/>
              </w:rPr>
              <w:drawing>
                <wp:inline distT="0" distB="0" distL="0" distR="0" wp14:anchorId="45F3CF7B" wp14:editId="1EE09C10">
                  <wp:extent cx="985698" cy="1033670"/>
                  <wp:effectExtent l="0" t="0" r="5080" b="0"/>
                  <wp:docPr id="304398256" name="Imagem 4" descr="Uma imagem contendo coberto, flor, deitado, cam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98256" name="Imagem 4" descr="Uma imagem contendo coberto, flor, deitado, campo&#10;&#10;O conteúdo gerado por IA pode estar incorre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0100" cy="1038286"/>
                          </a:xfrm>
                          <a:prstGeom prst="rect">
                            <a:avLst/>
                          </a:prstGeom>
                          <a:noFill/>
                          <a:ln>
                            <a:noFill/>
                          </a:ln>
                        </pic:spPr>
                      </pic:pic>
                    </a:graphicData>
                  </a:graphic>
                </wp:inline>
              </w:drawing>
            </w:r>
            <w:r w:rsidR="001B2FC2" w:rsidRPr="0014137C">
              <w:rPr>
                <w:lang w:val="en-GB"/>
              </w:rPr>
              <w:t>(a)</w:t>
            </w:r>
          </w:p>
        </w:tc>
        <w:tc>
          <w:tcPr>
            <w:tcW w:w="3267" w:type="dxa"/>
          </w:tcPr>
          <w:p w14:paraId="7B3F31DF" w14:textId="7785538D" w:rsidR="00F22B1D" w:rsidRPr="0014137C" w:rsidRDefault="00F22B1D" w:rsidP="001B2FC2">
            <w:pPr>
              <w:pStyle w:val="CETBodytext"/>
              <w:jc w:val="center"/>
              <w:rPr>
                <w:lang w:val="en-GB"/>
              </w:rPr>
            </w:pPr>
            <w:r w:rsidRPr="0014137C">
              <w:rPr>
                <w:rFonts w:cs="Arial"/>
                <w:noProof/>
                <w:color w:val="000000"/>
                <w:szCs w:val="18"/>
                <w:bdr w:val="none" w:sz="0" w:space="0" w:color="auto" w:frame="1"/>
                <w:lang w:val="pt-BR" w:eastAsia="pt-BR"/>
              </w:rPr>
              <w:drawing>
                <wp:inline distT="0" distB="0" distL="0" distR="0" wp14:anchorId="7E9E9242" wp14:editId="6B8E1E7E">
                  <wp:extent cx="990671" cy="1033145"/>
                  <wp:effectExtent l="0" t="0" r="0" b="0"/>
                  <wp:docPr id="1547532792" name="Imagem 3" descr="Arroz e carn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32792" name="Imagem 3" descr="Arroz e carne&#10;&#10;O conteúdo gerado por IA pode estar incorre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4824" cy="1047905"/>
                          </a:xfrm>
                          <a:prstGeom prst="rect">
                            <a:avLst/>
                          </a:prstGeom>
                          <a:noFill/>
                          <a:ln>
                            <a:noFill/>
                          </a:ln>
                        </pic:spPr>
                      </pic:pic>
                    </a:graphicData>
                  </a:graphic>
                </wp:inline>
              </w:drawing>
            </w:r>
            <w:r w:rsidR="001B2FC2" w:rsidRPr="0014137C">
              <w:rPr>
                <w:lang w:val="en-GB"/>
              </w:rPr>
              <w:t>(b)</w:t>
            </w:r>
          </w:p>
        </w:tc>
      </w:tr>
    </w:tbl>
    <w:p w14:paraId="448F9688" w14:textId="7A61475A" w:rsidR="00F22B1D" w:rsidRPr="0014137C" w:rsidRDefault="00F22B1D" w:rsidP="00A36367">
      <w:pPr>
        <w:tabs>
          <w:tab w:val="clear" w:pos="7100"/>
        </w:tabs>
        <w:spacing w:line="240" w:lineRule="auto"/>
        <w:rPr>
          <w:rFonts w:ascii="Times New Roman" w:hAnsi="Times New Roman"/>
          <w:i/>
          <w:iCs/>
          <w:sz w:val="24"/>
          <w:szCs w:val="24"/>
          <w:lang w:val="en-US" w:eastAsia="pt-BR"/>
        </w:rPr>
      </w:pPr>
      <w:r w:rsidRPr="0014137C">
        <w:rPr>
          <w:rFonts w:cs="Arial"/>
          <w:i/>
          <w:iCs/>
          <w:color w:val="000000"/>
          <w:szCs w:val="18"/>
          <w:lang w:val="en-US" w:eastAsia="pt-BR"/>
        </w:rPr>
        <w:t xml:space="preserve">Figure 1. Optical micrographs of </w:t>
      </w:r>
      <w:r w:rsidR="00785E2D" w:rsidRPr="0014137C">
        <w:rPr>
          <w:rFonts w:cs="Arial"/>
          <w:i/>
          <w:iCs/>
          <w:color w:val="000000"/>
          <w:szCs w:val="18"/>
          <w:lang w:val="en-US" w:eastAsia="pt-BR"/>
        </w:rPr>
        <w:t xml:space="preserve">processed </w:t>
      </w:r>
      <w:r w:rsidRPr="0014137C">
        <w:rPr>
          <w:rFonts w:cs="Arial"/>
          <w:i/>
          <w:iCs/>
          <w:color w:val="000000"/>
          <w:szCs w:val="18"/>
          <w:lang w:val="en-US" w:eastAsia="pt-BR"/>
        </w:rPr>
        <w:t>pequi stone with 2x</w:t>
      </w:r>
      <w:r w:rsidR="001B2FC2" w:rsidRPr="0014137C">
        <w:rPr>
          <w:rFonts w:cs="Arial"/>
          <w:i/>
          <w:iCs/>
          <w:color w:val="000000"/>
          <w:szCs w:val="18"/>
          <w:lang w:val="en-US" w:eastAsia="pt-BR"/>
        </w:rPr>
        <w:t xml:space="preserve"> (a) </w:t>
      </w:r>
      <w:r w:rsidRPr="0014137C">
        <w:rPr>
          <w:rFonts w:cs="Arial"/>
          <w:i/>
          <w:iCs/>
          <w:color w:val="000000"/>
          <w:szCs w:val="18"/>
          <w:lang w:val="en-US" w:eastAsia="pt-BR"/>
        </w:rPr>
        <w:t>and 100x</w:t>
      </w:r>
      <w:r w:rsidR="001B2FC2" w:rsidRPr="0014137C">
        <w:rPr>
          <w:rFonts w:cs="Arial"/>
          <w:i/>
          <w:iCs/>
          <w:color w:val="000000"/>
          <w:szCs w:val="18"/>
          <w:lang w:val="en-US" w:eastAsia="pt-BR"/>
        </w:rPr>
        <w:t xml:space="preserve"> (b)</w:t>
      </w:r>
      <w:r w:rsidRPr="0014137C">
        <w:rPr>
          <w:rFonts w:cs="Arial"/>
          <w:i/>
          <w:iCs/>
          <w:color w:val="000000"/>
          <w:szCs w:val="18"/>
          <w:lang w:val="en-US" w:eastAsia="pt-BR"/>
        </w:rPr>
        <w:t xml:space="preserve"> zoom.</w:t>
      </w:r>
    </w:p>
    <w:p w14:paraId="2D7BE6BD" w14:textId="1606B76D" w:rsidR="0058321F" w:rsidRPr="0014137C" w:rsidRDefault="00AF1851" w:rsidP="008156B1">
      <w:pPr>
        <w:pStyle w:val="CETHeading1"/>
        <w:numPr>
          <w:ilvl w:val="0"/>
          <w:numId w:val="0"/>
        </w:numPr>
        <w:tabs>
          <w:tab w:val="right" w:pos="7100"/>
        </w:tabs>
        <w:spacing w:before="120"/>
        <w:jc w:val="both"/>
        <w:rPr>
          <w:sz w:val="18"/>
          <w:szCs w:val="18"/>
          <w:lang w:val="en-GB"/>
        </w:rPr>
      </w:pPr>
      <w:r w:rsidRPr="0014137C">
        <w:rPr>
          <w:sz w:val="18"/>
          <w:szCs w:val="18"/>
          <w:lang w:val="en-GB"/>
        </w:rPr>
        <w:t xml:space="preserve">3.1 </w:t>
      </w:r>
      <w:r w:rsidR="006E5A4A" w:rsidRPr="0014137C">
        <w:rPr>
          <w:sz w:val="18"/>
          <w:szCs w:val="18"/>
        </w:rPr>
        <w:t>Compositional</w:t>
      </w:r>
      <w:r w:rsidR="00AE4CE9" w:rsidRPr="0014137C">
        <w:rPr>
          <w:sz w:val="18"/>
          <w:szCs w:val="18"/>
        </w:rPr>
        <w:t xml:space="preserve"> and </w:t>
      </w:r>
      <w:r w:rsidR="005E5A28" w:rsidRPr="0014137C">
        <w:rPr>
          <w:sz w:val="18"/>
          <w:szCs w:val="18"/>
        </w:rPr>
        <w:t>elemental</w:t>
      </w:r>
      <w:r w:rsidR="00AE4CE9" w:rsidRPr="0014137C">
        <w:rPr>
          <w:sz w:val="18"/>
          <w:szCs w:val="18"/>
        </w:rPr>
        <w:t xml:space="preserve"> Analysis</w:t>
      </w:r>
    </w:p>
    <w:p w14:paraId="254676A8" w14:textId="77777777" w:rsidR="00F37C7B" w:rsidRPr="0014137C" w:rsidRDefault="008775C8" w:rsidP="007640ED">
      <w:pPr>
        <w:pStyle w:val="CETBodytext"/>
        <w:rPr>
          <w:szCs w:val="18"/>
        </w:rPr>
      </w:pPr>
      <w:r w:rsidRPr="0014137C">
        <w:rPr>
          <w:szCs w:val="18"/>
        </w:rPr>
        <w:t>Table 1 summarizes the proximate and elemental characteristics of pequi stone in comparison with benchmark lignocellulosic residues commonly employed in thermochemical conversion studies, namely sugarcane bagasse (Athira et al., 2021), rice husk (Mansaray and Ghaly, 1998), and green coconut fiber (Sofán-Germán et al., 2025). The results reveal marked contrasts among the feedstocks. Pequi stone exhibits moderate moisture content, comparable to typical agricultural biomasses and lower than the characteristically higher values reported for rice husk, suggesting reduced energetic penalties associated with feedstock drying. Its volatile matter content is remarkably high, indicating strong devolatilization propensity and enhanced reactivity under thermochemical conditions, exceeding that of sugarcane bagasse and closely approaching the behavior of more labile residues such as green coconut fiber.</w:t>
      </w:r>
      <w:r w:rsidR="00F37C7B" w:rsidRPr="0014137C">
        <w:rPr>
          <w:szCs w:val="18"/>
        </w:rPr>
        <w:t xml:space="preserve"> </w:t>
      </w:r>
    </w:p>
    <w:p w14:paraId="66682E1B" w14:textId="0F47737A" w:rsidR="003575FE" w:rsidRPr="0014137C" w:rsidRDefault="008775C8" w:rsidP="007640ED">
      <w:pPr>
        <w:pStyle w:val="CETBodytext"/>
        <w:rPr>
          <w:szCs w:val="18"/>
        </w:rPr>
      </w:pPr>
      <w:r w:rsidRPr="0014137C">
        <w:rPr>
          <w:szCs w:val="18"/>
        </w:rPr>
        <w:t xml:space="preserve">From an operational standpoint, the low ash content of pequi stone represents a significant advantage, remaining well below the elevated mineral fractions commonly observed for rice husk, which may exceed 18% (Mansaray and Ghaly, 1998). This feature is particularly relevant for gasification-based routes, as it reduces the likelihood of slagging, fouling, and mineral-induced process instabilities. Elemental analysis further indicates a relatively high carbon and hydrogen content, reflected in favorable H/C and O/C ratios and resulting in a superior </w:t>
      </w:r>
      <w:r w:rsidRPr="0014137C">
        <w:rPr>
          <w:szCs w:val="18"/>
        </w:rPr>
        <w:lastRenderedPageBreak/>
        <w:t>higher heating value compared with the reference biomasses.</w:t>
      </w:r>
      <w:r w:rsidR="00F37C7B" w:rsidRPr="0014137C">
        <w:rPr>
          <w:szCs w:val="18"/>
        </w:rPr>
        <w:t xml:space="preserve"> The relatively high nitrogen content (4.04%) may be attributed to residual proteinaceous compounds from the adhered pulp or to inherent variability in the biomass composition, although analytical uncertainties cannot be ruled out. Likewise, the sulfur content (0.409%), although higher than typically reported for lignocellulosic materials, is relevant as it may contribute to H</w:t>
      </w:r>
      <w:r w:rsidR="00F37C7B" w:rsidRPr="0014137C">
        <w:rPr>
          <w:rFonts w:ascii="Cambria Math" w:hAnsi="Cambria Math" w:cs="Cambria Math"/>
          <w:szCs w:val="18"/>
        </w:rPr>
        <w:t>₂</w:t>
      </w:r>
      <w:r w:rsidR="00F37C7B" w:rsidRPr="0014137C">
        <w:rPr>
          <w:szCs w:val="18"/>
        </w:rPr>
        <w:t>S formation during SCWG, an aspect considered in the thermodynamic analysis.</w:t>
      </w:r>
      <w:r w:rsidRPr="0014137C">
        <w:rPr>
          <w:szCs w:val="18"/>
        </w:rPr>
        <w:t xml:space="preserve"> </w:t>
      </w:r>
      <w:r w:rsidR="001B2CE0" w:rsidRPr="0014137C">
        <w:t>During simulations, t</w:t>
      </w:r>
      <w:r w:rsidR="007640ED" w:rsidRPr="0014137C">
        <w:t>he molecule of Pequi stone was represented as a pseudocomponent, using the composition presented in Table 1.</w:t>
      </w:r>
    </w:p>
    <w:p w14:paraId="7DA26E60" w14:textId="77777777" w:rsidR="003575FE" w:rsidRPr="0014137C" w:rsidRDefault="003575FE" w:rsidP="00C57D63">
      <w:pPr>
        <w:pStyle w:val="CETBodytext"/>
        <w:spacing w:before="120"/>
        <w:rPr>
          <w:i/>
          <w:iCs/>
          <w:color w:val="EE0000"/>
          <w:szCs w:val="18"/>
        </w:rPr>
      </w:pPr>
      <w:r w:rsidRPr="0014137C">
        <w:rPr>
          <w:i/>
          <w:iCs/>
          <w:color w:val="000000" w:themeColor="text1"/>
          <w:szCs w:val="18"/>
        </w:rPr>
        <w:t xml:space="preserve">Table 1. </w:t>
      </w:r>
      <w:r w:rsidRPr="0014137C">
        <w:rPr>
          <w:i/>
          <w:iCs/>
        </w:rPr>
        <w:t xml:space="preserve">Proximate and elemental analyses of </w:t>
      </w:r>
      <w:r w:rsidRPr="0014137C">
        <w:rPr>
          <w:rStyle w:val="Forte"/>
          <w:b w:val="0"/>
          <w:bCs w:val="0"/>
          <w:i/>
          <w:iCs/>
        </w:rPr>
        <w:t>pequi stone</w:t>
      </w:r>
      <w:r w:rsidRPr="0014137C">
        <w:rPr>
          <w:i/>
          <w:iCs/>
        </w:rPr>
        <w:t xml:space="preserve"> compared with benchmark lignocellulosic biomasses commonly employed in thermochemical conversion studies.</w:t>
      </w:r>
    </w:p>
    <w:tbl>
      <w:tblPr>
        <w:tblStyle w:val="Tabelacomgrade"/>
        <w:tblW w:w="5162"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9"/>
        <w:gridCol w:w="1660"/>
        <w:gridCol w:w="2016"/>
        <w:gridCol w:w="1415"/>
        <w:gridCol w:w="1702"/>
      </w:tblGrid>
      <w:tr w:rsidR="003575FE" w:rsidRPr="0014137C" w14:paraId="69E52DBD" w14:textId="77777777" w:rsidTr="009E2095">
        <w:tc>
          <w:tcPr>
            <w:tcW w:w="1256" w:type="pct"/>
            <w:tcBorders>
              <w:top w:val="single" w:sz="4" w:space="0" w:color="00B050"/>
              <w:bottom w:val="single" w:sz="4" w:space="0" w:color="00B050"/>
            </w:tcBorders>
            <w:vAlign w:val="center"/>
          </w:tcPr>
          <w:p w14:paraId="5B715C00" w14:textId="77777777" w:rsidR="003575FE" w:rsidRPr="0014137C" w:rsidRDefault="003575FE" w:rsidP="00C70600">
            <w:pPr>
              <w:spacing w:line="240" w:lineRule="auto"/>
              <w:rPr>
                <w:rFonts w:cs="Arial"/>
                <w:b/>
                <w:bCs/>
                <w:szCs w:val="18"/>
                <w:lang w:val="en-US"/>
              </w:rPr>
            </w:pPr>
            <w:r w:rsidRPr="0014137C">
              <w:rPr>
                <w:rFonts w:cs="Arial"/>
                <w:b/>
                <w:bCs/>
                <w:szCs w:val="18"/>
                <w:lang w:val="en-US"/>
              </w:rPr>
              <w:t>Analysis</w:t>
            </w:r>
          </w:p>
        </w:tc>
        <w:tc>
          <w:tcPr>
            <w:tcW w:w="915" w:type="pct"/>
            <w:tcBorders>
              <w:top w:val="single" w:sz="4" w:space="0" w:color="00B050"/>
              <w:bottom w:val="single" w:sz="4" w:space="0" w:color="00B050"/>
            </w:tcBorders>
            <w:vAlign w:val="center"/>
          </w:tcPr>
          <w:p w14:paraId="26E340E5" w14:textId="77777777" w:rsidR="003575FE" w:rsidRPr="0014137C" w:rsidRDefault="003575FE" w:rsidP="00C70600">
            <w:pPr>
              <w:spacing w:line="240" w:lineRule="auto"/>
              <w:jc w:val="center"/>
              <w:rPr>
                <w:rFonts w:cs="Arial"/>
                <w:b/>
                <w:bCs/>
                <w:szCs w:val="18"/>
                <w:lang w:val="en-US"/>
              </w:rPr>
            </w:pPr>
            <w:r w:rsidRPr="0014137C">
              <w:rPr>
                <w:rFonts w:cs="Arial"/>
                <w:b/>
                <w:bCs/>
                <w:szCs w:val="18"/>
                <w:lang w:val="en-US"/>
              </w:rPr>
              <w:t>Pequi stone</w:t>
            </w:r>
          </w:p>
        </w:tc>
        <w:tc>
          <w:tcPr>
            <w:tcW w:w="1111" w:type="pct"/>
            <w:tcBorders>
              <w:top w:val="single" w:sz="4" w:space="0" w:color="00B050"/>
              <w:bottom w:val="single" w:sz="4" w:space="0" w:color="00B050"/>
            </w:tcBorders>
            <w:vAlign w:val="center"/>
          </w:tcPr>
          <w:p w14:paraId="773D634F" w14:textId="77777777" w:rsidR="003575FE" w:rsidRPr="0014137C" w:rsidRDefault="003575FE" w:rsidP="00C70600">
            <w:pPr>
              <w:spacing w:line="240" w:lineRule="auto"/>
              <w:jc w:val="center"/>
              <w:rPr>
                <w:rFonts w:cs="Arial"/>
                <w:b/>
                <w:bCs/>
                <w:szCs w:val="18"/>
                <w:lang w:val="pt-BR"/>
              </w:rPr>
            </w:pPr>
            <w:r w:rsidRPr="0014137C">
              <w:rPr>
                <w:rFonts w:cs="Arial"/>
                <w:b/>
                <w:bCs/>
                <w:szCs w:val="18"/>
                <w:lang w:val="pt-BR"/>
              </w:rPr>
              <w:t xml:space="preserve">Sugarcane bagasse </w:t>
            </w:r>
          </w:p>
        </w:tc>
        <w:tc>
          <w:tcPr>
            <w:tcW w:w="780" w:type="pct"/>
            <w:tcBorders>
              <w:top w:val="single" w:sz="4" w:space="0" w:color="00B050"/>
              <w:bottom w:val="single" w:sz="4" w:space="0" w:color="00B050"/>
            </w:tcBorders>
            <w:vAlign w:val="center"/>
          </w:tcPr>
          <w:p w14:paraId="0917D0E7" w14:textId="77777777" w:rsidR="003575FE" w:rsidRPr="0014137C" w:rsidRDefault="003575FE" w:rsidP="00C70600">
            <w:pPr>
              <w:spacing w:line="240" w:lineRule="auto"/>
              <w:jc w:val="center"/>
              <w:rPr>
                <w:rFonts w:cs="Arial"/>
                <w:b/>
                <w:bCs/>
                <w:szCs w:val="18"/>
                <w:lang w:val="en-US"/>
              </w:rPr>
            </w:pPr>
            <w:r w:rsidRPr="0014137C">
              <w:rPr>
                <w:rFonts w:cs="Arial"/>
                <w:b/>
                <w:bCs/>
                <w:szCs w:val="18"/>
                <w:lang w:val="en-US"/>
              </w:rPr>
              <w:t xml:space="preserve">Rice husk </w:t>
            </w:r>
          </w:p>
        </w:tc>
        <w:tc>
          <w:tcPr>
            <w:tcW w:w="938" w:type="pct"/>
            <w:tcBorders>
              <w:top w:val="single" w:sz="4" w:space="0" w:color="00B050"/>
              <w:bottom w:val="single" w:sz="4" w:space="0" w:color="00B050"/>
            </w:tcBorders>
            <w:vAlign w:val="center"/>
          </w:tcPr>
          <w:p w14:paraId="71B5E37D" w14:textId="77777777" w:rsidR="003575FE" w:rsidRPr="0014137C" w:rsidRDefault="003575FE" w:rsidP="00C70600">
            <w:pPr>
              <w:spacing w:line="240" w:lineRule="auto"/>
              <w:jc w:val="center"/>
              <w:rPr>
                <w:rFonts w:cs="Arial"/>
                <w:b/>
                <w:bCs/>
                <w:szCs w:val="18"/>
                <w:lang w:val="en-US"/>
              </w:rPr>
            </w:pPr>
            <w:r w:rsidRPr="0014137C">
              <w:rPr>
                <w:rFonts w:cs="Arial"/>
                <w:b/>
                <w:bCs/>
                <w:szCs w:val="18"/>
                <w:lang w:val="en-US"/>
              </w:rPr>
              <w:t>Green coconut husk</w:t>
            </w:r>
          </w:p>
        </w:tc>
      </w:tr>
      <w:tr w:rsidR="003575FE" w:rsidRPr="0014137C" w14:paraId="63A0BF9C" w14:textId="77777777" w:rsidTr="009E2095">
        <w:tc>
          <w:tcPr>
            <w:tcW w:w="1256" w:type="pct"/>
            <w:tcBorders>
              <w:top w:val="single" w:sz="4" w:space="0" w:color="00B050"/>
              <w:bottom w:val="single" w:sz="4" w:space="0" w:color="00B050"/>
            </w:tcBorders>
          </w:tcPr>
          <w:p w14:paraId="1818AB1E" w14:textId="65087C1A" w:rsidR="003575FE" w:rsidRPr="0014137C" w:rsidRDefault="003575FE" w:rsidP="00C70600">
            <w:pPr>
              <w:spacing w:line="240" w:lineRule="auto"/>
              <w:rPr>
                <w:rFonts w:cs="Arial"/>
                <w:i/>
                <w:iCs/>
                <w:szCs w:val="18"/>
                <w:lang w:val="en-US"/>
              </w:rPr>
            </w:pPr>
            <w:r w:rsidRPr="0014137C">
              <w:rPr>
                <w:rFonts w:cs="Arial"/>
                <w:i/>
                <w:iCs/>
                <w:szCs w:val="18"/>
                <w:lang w:val="en-US"/>
              </w:rPr>
              <w:t>Proximate analysis (</w:t>
            </w:r>
            <w:r w:rsidR="00C57D63" w:rsidRPr="0014137C">
              <w:rPr>
                <w:rFonts w:cs="Arial"/>
                <w:i/>
                <w:iCs/>
                <w:szCs w:val="18"/>
                <w:lang w:val="en-US"/>
              </w:rPr>
              <w:t>wt</w:t>
            </w:r>
            <w:r w:rsidRPr="0014137C">
              <w:rPr>
                <w:rFonts w:cs="Arial"/>
                <w:i/>
                <w:iCs/>
                <w:szCs w:val="18"/>
                <w:lang w:val="en-US"/>
              </w:rPr>
              <w:t>%)</w:t>
            </w:r>
          </w:p>
        </w:tc>
        <w:tc>
          <w:tcPr>
            <w:tcW w:w="915" w:type="pct"/>
            <w:tcBorders>
              <w:top w:val="single" w:sz="4" w:space="0" w:color="00B050"/>
              <w:bottom w:val="single" w:sz="4" w:space="0" w:color="00B050"/>
            </w:tcBorders>
          </w:tcPr>
          <w:p w14:paraId="05695041" w14:textId="77777777" w:rsidR="003575FE" w:rsidRPr="0014137C" w:rsidRDefault="003575FE" w:rsidP="00C70600">
            <w:pPr>
              <w:spacing w:line="240" w:lineRule="auto"/>
              <w:jc w:val="center"/>
              <w:rPr>
                <w:rFonts w:cs="Arial"/>
                <w:szCs w:val="18"/>
                <w:lang w:val="en-US"/>
              </w:rPr>
            </w:pPr>
          </w:p>
        </w:tc>
        <w:tc>
          <w:tcPr>
            <w:tcW w:w="1111" w:type="pct"/>
            <w:tcBorders>
              <w:top w:val="single" w:sz="4" w:space="0" w:color="00B050"/>
              <w:bottom w:val="single" w:sz="4" w:space="0" w:color="00B050"/>
            </w:tcBorders>
          </w:tcPr>
          <w:p w14:paraId="3438837D" w14:textId="77777777" w:rsidR="003575FE" w:rsidRPr="0014137C" w:rsidRDefault="003575FE" w:rsidP="00C70600">
            <w:pPr>
              <w:spacing w:line="240" w:lineRule="auto"/>
              <w:jc w:val="center"/>
              <w:rPr>
                <w:rFonts w:cs="Arial"/>
                <w:szCs w:val="18"/>
                <w:lang w:val="en-US"/>
              </w:rPr>
            </w:pPr>
          </w:p>
        </w:tc>
        <w:tc>
          <w:tcPr>
            <w:tcW w:w="780" w:type="pct"/>
            <w:tcBorders>
              <w:top w:val="single" w:sz="4" w:space="0" w:color="00B050"/>
              <w:bottom w:val="single" w:sz="4" w:space="0" w:color="00B050"/>
            </w:tcBorders>
          </w:tcPr>
          <w:p w14:paraId="77191CE3" w14:textId="77777777" w:rsidR="003575FE" w:rsidRPr="0014137C" w:rsidRDefault="003575FE" w:rsidP="00C70600">
            <w:pPr>
              <w:spacing w:line="240" w:lineRule="auto"/>
              <w:jc w:val="center"/>
              <w:rPr>
                <w:rFonts w:cs="Arial"/>
                <w:szCs w:val="18"/>
                <w:lang w:val="en-US"/>
              </w:rPr>
            </w:pPr>
          </w:p>
        </w:tc>
        <w:tc>
          <w:tcPr>
            <w:tcW w:w="938" w:type="pct"/>
            <w:tcBorders>
              <w:top w:val="single" w:sz="4" w:space="0" w:color="00B050"/>
              <w:bottom w:val="single" w:sz="4" w:space="0" w:color="00B050"/>
            </w:tcBorders>
          </w:tcPr>
          <w:p w14:paraId="19761F70" w14:textId="77777777" w:rsidR="003575FE" w:rsidRPr="0014137C" w:rsidRDefault="003575FE" w:rsidP="00C70600">
            <w:pPr>
              <w:spacing w:line="240" w:lineRule="auto"/>
              <w:jc w:val="center"/>
              <w:rPr>
                <w:rFonts w:cs="Arial"/>
                <w:szCs w:val="18"/>
                <w:lang w:val="en-US"/>
              </w:rPr>
            </w:pPr>
          </w:p>
        </w:tc>
      </w:tr>
      <w:tr w:rsidR="003575FE" w:rsidRPr="0014137C" w14:paraId="2D293425" w14:textId="77777777" w:rsidTr="009E2095">
        <w:tc>
          <w:tcPr>
            <w:tcW w:w="1256" w:type="pct"/>
            <w:tcBorders>
              <w:top w:val="single" w:sz="4" w:space="0" w:color="00B050"/>
              <w:bottom w:val="nil"/>
            </w:tcBorders>
          </w:tcPr>
          <w:p w14:paraId="28E3BF28" w14:textId="77777777" w:rsidR="003575FE" w:rsidRPr="0014137C" w:rsidRDefault="003575FE" w:rsidP="00C70600">
            <w:pPr>
              <w:spacing w:line="240" w:lineRule="auto"/>
              <w:rPr>
                <w:rFonts w:cs="Arial"/>
                <w:szCs w:val="18"/>
                <w:lang w:val="en-US"/>
              </w:rPr>
            </w:pPr>
            <w:r w:rsidRPr="0014137C">
              <w:rPr>
                <w:rFonts w:cs="Arial"/>
                <w:szCs w:val="18"/>
                <w:lang w:val="en-US"/>
              </w:rPr>
              <w:t>Moisture</w:t>
            </w:r>
          </w:p>
        </w:tc>
        <w:tc>
          <w:tcPr>
            <w:tcW w:w="915" w:type="pct"/>
            <w:tcBorders>
              <w:top w:val="single" w:sz="4" w:space="0" w:color="00B050"/>
              <w:bottom w:val="nil"/>
            </w:tcBorders>
          </w:tcPr>
          <w:p w14:paraId="44292232" w14:textId="6F31FF65" w:rsidR="003575FE" w:rsidRPr="0014137C" w:rsidRDefault="003575FE" w:rsidP="00C70600">
            <w:pPr>
              <w:spacing w:line="240" w:lineRule="auto"/>
              <w:jc w:val="center"/>
              <w:rPr>
                <w:rFonts w:cs="Arial"/>
                <w:szCs w:val="18"/>
                <w:lang w:val="en-US"/>
              </w:rPr>
            </w:pPr>
            <w:r w:rsidRPr="0014137C">
              <w:rPr>
                <w:rFonts w:cs="Arial"/>
                <w:szCs w:val="18"/>
                <w:lang w:val="en-US"/>
              </w:rPr>
              <w:t>6.744</w:t>
            </w:r>
            <w:r w:rsidR="000D5871" w:rsidRPr="0014137C">
              <w:rPr>
                <w:rFonts w:cs="Arial"/>
                <w:szCs w:val="18"/>
                <w:lang w:val="en-US"/>
              </w:rPr>
              <w:t xml:space="preserve"> </w:t>
            </w:r>
            <m:oMath>
              <m:r>
                <w:rPr>
                  <w:rFonts w:ascii="Cambria Math" w:hAnsi="Cambria Math" w:cs="Arial"/>
                  <w:szCs w:val="18"/>
                  <w:lang w:val="en-US"/>
                </w:rPr>
                <m:t xml:space="preserve">± </m:t>
              </m:r>
            </m:oMath>
            <w:r w:rsidRPr="0014137C">
              <w:rPr>
                <w:rFonts w:cs="Arial"/>
                <w:szCs w:val="18"/>
                <w:lang w:val="en-US"/>
              </w:rPr>
              <w:t>0.138</w:t>
            </w:r>
            <w:r w:rsidR="000D5871" w:rsidRPr="0014137C">
              <w:rPr>
                <w:rFonts w:cs="Arial"/>
                <w:szCs w:val="18"/>
                <w:vertAlign w:val="superscript"/>
                <w:lang w:val="en-US"/>
              </w:rPr>
              <w:t>2</w:t>
            </w:r>
          </w:p>
        </w:tc>
        <w:tc>
          <w:tcPr>
            <w:tcW w:w="1111" w:type="pct"/>
            <w:tcBorders>
              <w:top w:val="single" w:sz="4" w:space="0" w:color="00B050"/>
              <w:bottom w:val="nil"/>
            </w:tcBorders>
          </w:tcPr>
          <w:p w14:paraId="7911A8A2" w14:textId="77777777" w:rsidR="003575FE" w:rsidRPr="0014137C" w:rsidRDefault="003575FE" w:rsidP="00C70600">
            <w:pPr>
              <w:spacing w:line="240" w:lineRule="auto"/>
              <w:jc w:val="center"/>
              <w:rPr>
                <w:rFonts w:cs="Arial"/>
                <w:szCs w:val="18"/>
                <w:lang w:val="en-US"/>
              </w:rPr>
            </w:pPr>
            <w:r w:rsidRPr="0014137C">
              <w:rPr>
                <w:rFonts w:cs="Arial"/>
                <w:szCs w:val="18"/>
                <w:lang w:val="en-US"/>
              </w:rPr>
              <w:t>4.044</w:t>
            </w:r>
          </w:p>
        </w:tc>
        <w:tc>
          <w:tcPr>
            <w:tcW w:w="780" w:type="pct"/>
            <w:tcBorders>
              <w:top w:val="single" w:sz="4" w:space="0" w:color="00B050"/>
              <w:bottom w:val="nil"/>
            </w:tcBorders>
          </w:tcPr>
          <w:p w14:paraId="357F5234" w14:textId="1B756466" w:rsidR="003575FE" w:rsidRPr="0014137C" w:rsidRDefault="003575FE" w:rsidP="00C70600">
            <w:pPr>
              <w:spacing w:line="240" w:lineRule="auto"/>
              <w:jc w:val="center"/>
              <w:rPr>
                <w:rFonts w:cs="Arial"/>
                <w:szCs w:val="18"/>
                <w:lang w:val="en-US"/>
              </w:rPr>
            </w:pPr>
            <w:r w:rsidRPr="0014137C">
              <w:rPr>
                <w:rFonts w:cs="Arial"/>
                <w:szCs w:val="18"/>
                <w:lang w:val="en-US"/>
              </w:rPr>
              <w:t>8.64</w:t>
            </w:r>
            <w:r w:rsidR="000D5871" w:rsidRPr="0014137C">
              <w:rPr>
                <w:rFonts w:cs="Arial"/>
                <w:szCs w:val="18"/>
                <w:lang w:val="en-US"/>
              </w:rPr>
              <w:t>0</w:t>
            </w:r>
          </w:p>
        </w:tc>
        <w:tc>
          <w:tcPr>
            <w:tcW w:w="938" w:type="pct"/>
            <w:tcBorders>
              <w:top w:val="single" w:sz="4" w:space="0" w:color="00B050"/>
              <w:bottom w:val="nil"/>
            </w:tcBorders>
          </w:tcPr>
          <w:p w14:paraId="70815866" w14:textId="0758F222" w:rsidR="003575FE" w:rsidRPr="0014137C" w:rsidRDefault="003575FE" w:rsidP="00C70600">
            <w:pPr>
              <w:spacing w:line="240" w:lineRule="auto"/>
              <w:jc w:val="center"/>
              <w:rPr>
                <w:rFonts w:cs="Arial"/>
                <w:szCs w:val="18"/>
                <w:lang w:val="en-US"/>
              </w:rPr>
            </w:pPr>
            <w:r w:rsidRPr="0014137C">
              <w:rPr>
                <w:rFonts w:cs="Arial"/>
                <w:szCs w:val="18"/>
                <w:lang w:val="en-US"/>
              </w:rPr>
              <w:t>11.28</w:t>
            </w:r>
            <w:r w:rsidR="000D5871" w:rsidRPr="0014137C">
              <w:rPr>
                <w:rFonts w:cs="Arial"/>
                <w:szCs w:val="18"/>
                <w:lang w:val="en-US"/>
              </w:rPr>
              <w:t>0</w:t>
            </w:r>
          </w:p>
        </w:tc>
      </w:tr>
      <w:tr w:rsidR="003575FE" w:rsidRPr="0014137C" w14:paraId="75FAACA8" w14:textId="77777777" w:rsidTr="009E2095">
        <w:tc>
          <w:tcPr>
            <w:tcW w:w="1256" w:type="pct"/>
            <w:tcBorders>
              <w:top w:val="nil"/>
            </w:tcBorders>
          </w:tcPr>
          <w:p w14:paraId="20C24948" w14:textId="77777777" w:rsidR="003575FE" w:rsidRPr="0014137C" w:rsidRDefault="003575FE" w:rsidP="00C70600">
            <w:pPr>
              <w:spacing w:line="240" w:lineRule="auto"/>
              <w:rPr>
                <w:rFonts w:cs="Arial"/>
                <w:szCs w:val="18"/>
                <w:lang w:val="en-US"/>
              </w:rPr>
            </w:pPr>
            <w:r w:rsidRPr="0014137C">
              <w:rPr>
                <w:rFonts w:cs="Arial"/>
                <w:szCs w:val="18"/>
                <w:lang w:val="en-US"/>
              </w:rPr>
              <w:t>Volatile matter</w:t>
            </w:r>
          </w:p>
        </w:tc>
        <w:tc>
          <w:tcPr>
            <w:tcW w:w="915" w:type="pct"/>
            <w:tcBorders>
              <w:top w:val="nil"/>
            </w:tcBorders>
          </w:tcPr>
          <w:p w14:paraId="588220D4" w14:textId="257DCD24" w:rsidR="003575FE" w:rsidRPr="0014137C" w:rsidRDefault="003575FE" w:rsidP="00C70600">
            <w:pPr>
              <w:spacing w:line="240" w:lineRule="auto"/>
              <w:jc w:val="center"/>
              <w:rPr>
                <w:rFonts w:cs="Arial"/>
                <w:szCs w:val="18"/>
                <w:lang w:val="en-US"/>
              </w:rPr>
            </w:pPr>
            <w:r w:rsidRPr="0014137C">
              <w:rPr>
                <w:rFonts w:cs="Arial"/>
                <w:szCs w:val="18"/>
                <w:lang w:val="en-US"/>
              </w:rPr>
              <w:t>91.312</w:t>
            </w:r>
            <w:r w:rsidR="000D5871" w:rsidRPr="0014137C">
              <w:rPr>
                <w:rFonts w:cs="Arial"/>
                <w:szCs w:val="18"/>
                <w:lang w:val="en-US"/>
              </w:rPr>
              <w:t xml:space="preserve"> </w:t>
            </w:r>
            <m:oMath>
              <m:r>
                <w:rPr>
                  <w:rFonts w:ascii="Cambria Math" w:hAnsi="Cambria Math" w:cs="Arial"/>
                  <w:szCs w:val="18"/>
                  <w:lang w:val="en-US"/>
                </w:rPr>
                <m:t xml:space="preserve">± </m:t>
              </m:r>
            </m:oMath>
            <w:r w:rsidRPr="0014137C">
              <w:rPr>
                <w:rFonts w:cs="Arial"/>
                <w:szCs w:val="18"/>
                <w:lang w:val="en-US"/>
              </w:rPr>
              <w:t>0.488</w:t>
            </w:r>
          </w:p>
        </w:tc>
        <w:tc>
          <w:tcPr>
            <w:tcW w:w="1111" w:type="pct"/>
            <w:tcBorders>
              <w:top w:val="nil"/>
            </w:tcBorders>
          </w:tcPr>
          <w:p w14:paraId="13323E68" w14:textId="77777777" w:rsidR="003575FE" w:rsidRPr="0014137C" w:rsidRDefault="003575FE" w:rsidP="00C70600">
            <w:pPr>
              <w:spacing w:line="240" w:lineRule="auto"/>
              <w:jc w:val="center"/>
              <w:rPr>
                <w:rFonts w:cs="Arial"/>
                <w:szCs w:val="18"/>
                <w:lang w:val="en-US"/>
              </w:rPr>
            </w:pPr>
            <w:r w:rsidRPr="0014137C">
              <w:rPr>
                <w:rFonts w:cs="Arial"/>
                <w:szCs w:val="18"/>
                <w:lang w:val="en-US"/>
              </w:rPr>
              <w:t>72.198</w:t>
            </w:r>
          </w:p>
        </w:tc>
        <w:tc>
          <w:tcPr>
            <w:tcW w:w="780" w:type="pct"/>
            <w:tcBorders>
              <w:top w:val="nil"/>
            </w:tcBorders>
          </w:tcPr>
          <w:p w14:paraId="0990EA03" w14:textId="01994B4A" w:rsidR="003575FE" w:rsidRPr="0014137C" w:rsidRDefault="003575FE" w:rsidP="00C70600">
            <w:pPr>
              <w:spacing w:line="240" w:lineRule="auto"/>
              <w:jc w:val="center"/>
              <w:rPr>
                <w:rFonts w:cs="Arial"/>
                <w:szCs w:val="18"/>
                <w:lang w:val="en-US"/>
              </w:rPr>
            </w:pPr>
            <w:r w:rsidRPr="0014137C">
              <w:rPr>
                <w:rFonts w:cs="Arial"/>
                <w:szCs w:val="18"/>
                <w:lang w:val="en-US"/>
              </w:rPr>
              <w:t>71.23</w:t>
            </w:r>
            <w:r w:rsidR="000D5871" w:rsidRPr="0014137C">
              <w:rPr>
                <w:rFonts w:cs="Arial"/>
                <w:szCs w:val="18"/>
                <w:lang w:val="en-US"/>
              </w:rPr>
              <w:t>0</w:t>
            </w:r>
          </w:p>
        </w:tc>
        <w:tc>
          <w:tcPr>
            <w:tcW w:w="938" w:type="pct"/>
            <w:tcBorders>
              <w:top w:val="nil"/>
            </w:tcBorders>
          </w:tcPr>
          <w:p w14:paraId="176E1A7B" w14:textId="13282D27" w:rsidR="003575FE" w:rsidRPr="0014137C" w:rsidRDefault="003575FE" w:rsidP="00C70600">
            <w:pPr>
              <w:spacing w:line="240" w:lineRule="auto"/>
              <w:jc w:val="center"/>
              <w:rPr>
                <w:rFonts w:cs="Arial"/>
                <w:szCs w:val="18"/>
                <w:lang w:val="en-US"/>
              </w:rPr>
            </w:pPr>
            <w:r w:rsidRPr="0014137C">
              <w:rPr>
                <w:rFonts w:cs="Arial"/>
                <w:szCs w:val="18"/>
                <w:lang w:val="en-US"/>
              </w:rPr>
              <w:t>91.81</w:t>
            </w:r>
            <w:r w:rsidR="000D5871" w:rsidRPr="0014137C">
              <w:rPr>
                <w:rFonts w:cs="Arial"/>
                <w:szCs w:val="18"/>
                <w:lang w:val="en-US"/>
              </w:rPr>
              <w:t>0</w:t>
            </w:r>
          </w:p>
        </w:tc>
      </w:tr>
      <w:tr w:rsidR="003575FE" w:rsidRPr="0014137C" w14:paraId="2D1C1A21" w14:textId="77777777" w:rsidTr="009E2095">
        <w:tc>
          <w:tcPr>
            <w:tcW w:w="1256" w:type="pct"/>
          </w:tcPr>
          <w:p w14:paraId="2CBEB047" w14:textId="77777777" w:rsidR="003575FE" w:rsidRPr="0014137C" w:rsidRDefault="003575FE" w:rsidP="00C70600">
            <w:pPr>
              <w:spacing w:line="240" w:lineRule="auto"/>
              <w:rPr>
                <w:rFonts w:cs="Arial"/>
                <w:szCs w:val="18"/>
                <w:lang w:val="en-US"/>
              </w:rPr>
            </w:pPr>
            <w:r w:rsidRPr="0014137C">
              <w:rPr>
                <w:rFonts w:cs="Arial"/>
                <w:szCs w:val="18"/>
                <w:lang w:val="en-US"/>
              </w:rPr>
              <w:t>Ash</w:t>
            </w:r>
          </w:p>
        </w:tc>
        <w:tc>
          <w:tcPr>
            <w:tcW w:w="915" w:type="pct"/>
          </w:tcPr>
          <w:p w14:paraId="2A7D6863" w14:textId="6633936D" w:rsidR="003575FE" w:rsidRPr="0014137C" w:rsidRDefault="003575FE" w:rsidP="00C70600">
            <w:pPr>
              <w:spacing w:line="240" w:lineRule="auto"/>
              <w:jc w:val="center"/>
              <w:rPr>
                <w:rFonts w:cs="Arial"/>
                <w:szCs w:val="18"/>
                <w:lang w:val="en-US"/>
              </w:rPr>
            </w:pPr>
            <w:r w:rsidRPr="0014137C">
              <w:rPr>
                <w:rFonts w:cs="Arial"/>
                <w:szCs w:val="18"/>
                <w:lang w:val="en-US"/>
              </w:rPr>
              <w:t>1.473</w:t>
            </w:r>
            <m:oMath>
              <m:r>
                <w:rPr>
                  <w:rFonts w:ascii="Cambria Math" w:hAnsi="Cambria Math" w:cs="Arial"/>
                  <w:szCs w:val="18"/>
                  <w:lang w:val="en-US"/>
                </w:rPr>
                <m:t xml:space="preserve"> ±</m:t>
              </m:r>
            </m:oMath>
            <w:r w:rsidRPr="0014137C">
              <w:rPr>
                <w:rFonts w:cs="Arial"/>
                <w:szCs w:val="18"/>
                <w:lang w:val="en-US"/>
              </w:rPr>
              <w:t xml:space="preserve"> 0.187</w:t>
            </w:r>
          </w:p>
        </w:tc>
        <w:tc>
          <w:tcPr>
            <w:tcW w:w="1111" w:type="pct"/>
          </w:tcPr>
          <w:p w14:paraId="281A7A94" w14:textId="77777777" w:rsidR="003575FE" w:rsidRPr="0014137C" w:rsidRDefault="003575FE" w:rsidP="00C70600">
            <w:pPr>
              <w:spacing w:line="240" w:lineRule="auto"/>
              <w:jc w:val="center"/>
              <w:rPr>
                <w:rFonts w:cs="Arial"/>
                <w:szCs w:val="18"/>
                <w:lang w:val="en-US"/>
              </w:rPr>
            </w:pPr>
            <w:r w:rsidRPr="0014137C">
              <w:rPr>
                <w:rFonts w:cs="Arial"/>
                <w:szCs w:val="18"/>
                <w:lang w:val="en-US"/>
              </w:rPr>
              <w:t>4.292</w:t>
            </w:r>
          </w:p>
        </w:tc>
        <w:tc>
          <w:tcPr>
            <w:tcW w:w="780" w:type="pct"/>
          </w:tcPr>
          <w:p w14:paraId="1ADD46BA" w14:textId="36AB928E" w:rsidR="003575FE" w:rsidRPr="0014137C" w:rsidRDefault="003575FE" w:rsidP="009E2095">
            <w:pPr>
              <w:spacing w:line="240" w:lineRule="auto"/>
              <w:jc w:val="center"/>
              <w:rPr>
                <w:rFonts w:cs="Arial"/>
                <w:szCs w:val="18"/>
                <w:lang w:val="en-US"/>
              </w:rPr>
            </w:pPr>
            <w:r w:rsidRPr="0014137C">
              <w:rPr>
                <w:rFonts w:cs="Arial"/>
                <w:szCs w:val="18"/>
                <w:lang w:val="en-US"/>
              </w:rPr>
              <w:t>18.0</w:t>
            </w:r>
            <w:r w:rsidR="000D5871" w:rsidRPr="0014137C">
              <w:rPr>
                <w:rFonts w:cs="Arial"/>
                <w:szCs w:val="18"/>
                <w:lang w:val="en-US"/>
              </w:rPr>
              <w:t>00</w:t>
            </w:r>
            <w:r w:rsidR="009E2095">
              <w:rPr>
                <w:rFonts w:cs="Arial"/>
                <w:szCs w:val="18"/>
                <w:lang w:val="en-US"/>
              </w:rPr>
              <w:t>-</w:t>
            </w:r>
            <w:r w:rsidRPr="0014137C">
              <w:rPr>
                <w:rFonts w:cs="Arial"/>
                <w:szCs w:val="18"/>
                <w:lang w:val="en-US"/>
              </w:rPr>
              <w:t>21.4</w:t>
            </w:r>
            <w:r w:rsidR="000D5871" w:rsidRPr="0014137C">
              <w:rPr>
                <w:rFonts w:cs="Arial"/>
                <w:szCs w:val="18"/>
                <w:lang w:val="en-US"/>
              </w:rPr>
              <w:t>00</w:t>
            </w:r>
          </w:p>
        </w:tc>
        <w:tc>
          <w:tcPr>
            <w:tcW w:w="938" w:type="pct"/>
          </w:tcPr>
          <w:p w14:paraId="35EF0192" w14:textId="10D9EB65" w:rsidR="003575FE" w:rsidRPr="0014137C" w:rsidRDefault="003575FE" w:rsidP="00C70600">
            <w:pPr>
              <w:spacing w:line="240" w:lineRule="auto"/>
              <w:jc w:val="center"/>
              <w:rPr>
                <w:rFonts w:cs="Arial"/>
                <w:szCs w:val="18"/>
                <w:lang w:val="en-US"/>
              </w:rPr>
            </w:pPr>
            <w:r w:rsidRPr="0014137C">
              <w:rPr>
                <w:rFonts w:cs="Arial"/>
                <w:szCs w:val="18"/>
                <w:lang w:val="en-US"/>
              </w:rPr>
              <w:t>2.31</w:t>
            </w:r>
            <w:r w:rsidR="000D5871" w:rsidRPr="0014137C">
              <w:rPr>
                <w:rFonts w:cs="Arial"/>
                <w:szCs w:val="18"/>
                <w:lang w:val="en-US"/>
              </w:rPr>
              <w:t>0</w:t>
            </w:r>
          </w:p>
        </w:tc>
      </w:tr>
      <w:tr w:rsidR="003575FE" w:rsidRPr="0014137C" w14:paraId="074BB1DB" w14:textId="77777777" w:rsidTr="009E2095">
        <w:tc>
          <w:tcPr>
            <w:tcW w:w="1256" w:type="pct"/>
            <w:tcBorders>
              <w:bottom w:val="single" w:sz="4" w:space="0" w:color="00B050"/>
            </w:tcBorders>
          </w:tcPr>
          <w:p w14:paraId="2A232088" w14:textId="77777777" w:rsidR="003575FE" w:rsidRPr="0014137C" w:rsidRDefault="003575FE" w:rsidP="00C70600">
            <w:pPr>
              <w:spacing w:line="240" w:lineRule="auto"/>
              <w:rPr>
                <w:rFonts w:cs="Arial"/>
                <w:szCs w:val="18"/>
                <w:lang w:val="en-US"/>
              </w:rPr>
            </w:pPr>
            <w:r w:rsidRPr="0014137C">
              <w:rPr>
                <w:rFonts w:cs="Arial"/>
                <w:szCs w:val="18"/>
                <w:lang w:val="en-US"/>
              </w:rPr>
              <w:t>Fixed carbon</w:t>
            </w:r>
          </w:p>
        </w:tc>
        <w:tc>
          <w:tcPr>
            <w:tcW w:w="915" w:type="pct"/>
            <w:tcBorders>
              <w:bottom w:val="single" w:sz="4" w:space="0" w:color="00B050"/>
            </w:tcBorders>
          </w:tcPr>
          <w:p w14:paraId="20A3D242" w14:textId="4A9A02A2" w:rsidR="003575FE" w:rsidRPr="0014137C" w:rsidRDefault="003575FE" w:rsidP="00C70600">
            <w:pPr>
              <w:spacing w:line="240" w:lineRule="auto"/>
              <w:jc w:val="center"/>
              <w:rPr>
                <w:rFonts w:cs="Arial"/>
                <w:szCs w:val="18"/>
                <w:lang w:val="en-US"/>
              </w:rPr>
            </w:pPr>
            <w:r w:rsidRPr="0014137C">
              <w:rPr>
                <w:rFonts w:cs="Arial"/>
                <w:szCs w:val="18"/>
                <w:lang w:val="en-US"/>
              </w:rPr>
              <w:t>0.470</w:t>
            </w:r>
            <w:r w:rsidR="000D5871" w:rsidRPr="0014137C">
              <w:rPr>
                <w:rFonts w:cs="Arial"/>
                <w:szCs w:val="18"/>
                <w:lang w:val="en-US"/>
              </w:rPr>
              <w:t xml:space="preserve"> </w:t>
            </w:r>
            <m:oMath>
              <m:r>
                <w:rPr>
                  <w:rFonts w:ascii="Cambria Math" w:hAnsi="Cambria Math" w:cs="Arial"/>
                  <w:szCs w:val="18"/>
                  <w:lang w:val="en-US"/>
                </w:rPr>
                <m:t xml:space="preserve">± </m:t>
              </m:r>
            </m:oMath>
            <w:r w:rsidRPr="0014137C">
              <w:rPr>
                <w:rFonts w:cs="Arial"/>
                <w:szCs w:val="18"/>
                <w:lang w:val="en-US"/>
              </w:rPr>
              <w:t>0.351</w:t>
            </w:r>
          </w:p>
        </w:tc>
        <w:tc>
          <w:tcPr>
            <w:tcW w:w="1111" w:type="pct"/>
            <w:tcBorders>
              <w:bottom w:val="single" w:sz="4" w:space="0" w:color="00B050"/>
            </w:tcBorders>
          </w:tcPr>
          <w:p w14:paraId="47C5E114" w14:textId="77777777" w:rsidR="003575FE" w:rsidRPr="0014137C" w:rsidRDefault="003575FE" w:rsidP="00C70600">
            <w:pPr>
              <w:spacing w:line="240" w:lineRule="auto"/>
              <w:jc w:val="center"/>
              <w:rPr>
                <w:rFonts w:cs="Arial"/>
                <w:szCs w:val="18"/>
                <w:lang w:val="en-US"/>
              </w:rPr>
            </w:pPr>
            <w:r w:rsidRPr="0014137C">
              <w:rPr>
                <w:rFonts w:cs="Arial"/>
                <w:szCs w:val="18"/>
                <w:lang w:val="en-US"/>
              </w:rPr>
              <w:t>20.467</w:t>
            </w:r>
          </w:p>
        </w:tc>
        <w:tc>
          <w:tcPr>
            <w:tcW w:w="780" w:type="pct"/>
            <w:tcBorders>
              <w:bottom w:val="single" w:sz="4" w:space="0" w:color="00B050"/>
            </w:tcBorders>
          </w:tcPr>
          <w:p w14:paraId="0D589176" w14:textId="4EB125BD" w:rsidR="003575FE" w:rsidRPr="0014137C" w:rsidRDefault="003575FE" w:rsidP="00C70600">
            <w:pPr>
              <w:spacing w:line="240" w:lineRule="auto"/>
              <w:jc w:val="center"/>
              <w:rPr>
                <w:rFonts w:cs="Arial"/>
                <w:szCs w:val="18"/>
                <w:lang w:val="en-US"/>
              </w:rPr>
            </w:pPr>
            <w:r w:rsidRPr="0014137C">
              <w:rPr>
                <w:rFonts w:cs="Arial"/>
                <w:szCs w:val="18"/>
                <w:lang w:val="en-US"/>
              </w:rPr>
              <w:t>7.30</w:t>
            </w:r>
            <w:r w:rsidR="000D5871" w:rsidRPr="0014137C">
              <w:rPr>
                <w:rFonts w:cs="Arial"/>
                <w:szCs w:val="18"/>
                <w:lang w:val="en-US"/>
              </w:rPr>
              <w:t>0</w:t>
            </w:r>
          </w:p>
        </w:tc>
        <w:tc>
          <w:tcPr>
            <w:tcW w:w="938" w:type="pct"/>
            <w:tcBorders>
              <w:bottom w:val="single" w:sz="4" w:space="0" w:color="00B050"/>
            </w:tcBorders>
          </w:tcPr>
          <w:p w14:paraId="19D12380" w14:textId="2FA966CF" w:rsidR="003575FE" w:rsidRPr="0014137C" w:rsidRDefault="003575FE" w:rsidP="00C70600">
            <w:pPr>
              <w:spacing w:line="240" w:lineRule="auto"/>
              <w:jc w:val="center"/>
              <w:rPr>
                <w:rFonts w:cs="Arial"/>
                <w:szCs w:val="18"/>
                <w:lang w:val="en-US"/>
              </w:rPr>
            </w:pPr>
            <w:r w:rsidRPr="0014137C">
              <w:rPr>
                <w:rFonts w:cs="Arial"/>
                <w:szCs w:val="18"/>
                <w:lang w:val="en-US"/>
              </w:rPr>
              <w:t>5.88</w:t>
            </w:r>
            <w:r w:rsidR="000D5871" w:rsidRPr="0014137C">
              <w:rPr>
                <w:rFonts w:cs="Arial"/>
                <w:szCs w:val="18"/>
                <w:lang w:val="en-US"/>
              </w:rPr>
              <w:t>0</w:t>
            </w:r>
          </w:p>
        </w:tc>
      </w:tr>
      <w:tr w:rsidR="003575FE" w:rsidRPr="0014137C" w14:paraId="22979C25" w14:textId="77777777" w:rsidTr="009E2095">
        <w:trPr>
          <w:trHeight w:val="112"/>
        </w:trPr>
        <w:tc>
          <w:tcPr>
            <w:tcW w:w="1256" w:type="pct"/>
            <w:tcBorders>
              <w:top w:val="single" w:sz="4" w:space="0" w:color="00B050"/>
              <w:bottom w:val="single" w:sz="4" w:space="0" w:color="00B050"/>
            </w:tcBorders>
          </w:tcPr>
          <w:p w14:paraId="7DF2D58D" w14:textId="239A12E3" w:rsidR="003575FE" w:rsidRPr="0014137C" w:rsidRDefault="003575FE" w:rsidP="00C70600">
            <w:pPr>
              <w:spacing w:line="240" w:lineRule="auto"/>
              <w:rPr>
                <w:rFonts w:cs="Arial"/>
                <w:i/>
                <w:iCs/>
                <w:szCs w:val="18"/>
                <w:lang w:val="en-US"/>
              </w:rPr>
            </w:pPr>
            <w:r w:rsidRPr="0014137C">
              <w:rPr>
                <w:rFonts w:cs="Arial"/>
                <w:i/>
                <w:iCs/>
                <w:szCs w:val="18"/>
                <w:lang w:val="en-US"/>
              </w:rPr>
              <w:t>Elementa</w:t>
            </w:r>
            <w:r w:rsidR="005E5A28" w:rsidRPr="0014137C">
              <w:rPr>
                <w:rFonts w:cs="Arial"/>
                <w:i/>
                <w:iCs/>
                <w:szCs w:val="18"/>
                <w:lang w:val="en-US"/>
              </w:rPr>
              <w:t>l</w:t>
            </w:r>
            <w:r w:rsidRPr="0014137C">
              <w:rPr>
                <w:rFonts w:cs="Arial"/>
                <w:i/>
                <w:iCs/>
                <w:szCs w:val="18"/>
                <w:lang w:val="en-US"/>
              </w:rPr>
              <w:t xml:space="preserve"> analysis</w:t>
            </w:r>
            <w:r w:rsidR="006E5A4A" w:rsidRPr="0014137C">
              <w:rPr>
                <w:rFonts w:cs="Arial"/>
                <w:i/>
                <w:iCs/>
                <w:szCs w:val="18"/>
                <w:lang w:val="en-US"/>
              </w:rPr>
              <w:t xml:space="preserve"> (wt%)</w:t>
            </w:r>
          </w:p>
        </w:tc>
        <w:tc>
          <w:tcPr>
            <w:tcW w:w="915" w:type="pct"/>
            <w:tcBorders>
              <w:top w:val="single" w:sz="4" w:space="0" w:color="00B050"/>
              <w:bottom w:val="single" w:sz="4" w:space="0" w:color="00B050"/>
            </w:tcBorders>
          </w:tcPr>
          <w:p w14:paraId="67F78EDC" w14:textId="77777777" w:rsidR="003575FE" w:rsidRPr="0014137C" w:rsidRDefault="003575FE" w:rsidP="00C70600">
            <w:pPr>
              <w:spacing w:line="240" w:lineRule="auto"/>
              <w:jc w:val="center"/>
              <w:rPr>
                <w:rFonts w:cs="Arial"/>
                <w:szCs w:val="18"/>
                <w:lang w:val="en-US"/>
              </w:rPr>
            </w:pPr>
          </w:p>
        </w:tc>
        <w:tc>
          <w:tcPr>
            <w:tcW w:w="1111" w:type="pct"/>
            <w:tcBorders>
              <w:top w:val="single" w:sz="4" w:space="0" w:color="00B050"/>
              <w:bottom w:val="single" w:sz="4" w:space="0" w:color="00B050"/>
            </w:tcBorders>
          </w:tcPr>
          <w:p w14:paraId="1F308BE1" w14:textId="77777777" w:rsidR="003575FE" w:rsidRPr="0014137C" w:rsidRDefault="003575FE" w:rsidP="00C70600">
            <w:pPr>
              <w:spacing w:line="240" w:lineRule="auto"/>
              <w:jc w:val="center"/>
              <w:rPr>
                <w:rFonts w:cs="Arial"/>
                <w:szCs w:val="18"/>
                <w:lang w:val="en-US"/>
              </w:rPr>
            </w:pPr>
          </w:p>
        </w:tc>
        <w:tc>
          <w:tcPr>
            <w:tcW w:w="780" w:type="pct"/>
            <w:tcBorders>
              <w:top w:val="single" w:sz="4" w:space="0" w:color="00B050"/>
              <w:bottom w:val="single" w:sz="4" w:space="0" w:color="00B050"/>
            </w:tcBorders>
          </w:tcPr>
          <w:p w14:paraId="2472F72E" w14:textId="77777777" w:rsidR="003575FE" w:rsidRPr="0014137C" w:rsidRDefault="003575FE" w:rsidP="00C70600">
            <w:pPr>
              <w:spacing w:line="240" w:lineRule="auto"/>
              <w:jc w:val="center"/>
              <w:rPr>
                <w:rFonts w:cs="Arial"/>
                <w:szCs w:val="18"/>
                <w:lang w:val="en-US"/>
              </w:rPr>
            </w:pPr>
          </w:p>
        </w:tc>
        <w:tc>
          <w:tcPr>
            <w:tcW w:w="938" w:type="pct"/>
            <w:tcBorders>
              <w:top w:val="single" w:sz="4" w:space="0" w:color="00B050"/>
              <w:bottom w:val="single" w:sz="4" w:space="0" w:color="00B050"/>
            </w:tcBorders>
          </w:tcPr>
          <w:p w14:paraId="69815B47" w14:textId="77777777" w:rsidR="003575FE" w:rsidRPr="0014137C" w:rsidRDefault="003575FE" w:rsidP="00C70600">
            <w:pPr>
              <w:spacing w:line="240" w:lineRule="auto"/>
              <w:jc w:val="center"/>
              <w:rPr>
                <w:rFonts w:cs="Arial"/>
                <w:szCs w:val="18"/>
                <w:lang w:val="en-US"/>
              </w:rPr>
            </w:pPr>
          </w:p>
        </w:tc>
      </w:tr>
      <w:tr w:rsidR="003575FE" w:rsidRPr="0014137C" w14:paraId="5CD4C409" w14:textId="77777777" w:rsidTr="009E2095">
        <w:trPr>
          <w:trHeight w:val="202"/>
        </w:trPr>
        <w:tc>
          <w:tcPr>
            <w:tcW w:w="1256" w:type="pct"/>
            <w:tcBorders>
              <w:top w:val="single" w:sz="4" w:space="0" w:color="00B050"/>
            </w:tcBorders>
          </w:tcPr>
          <w:p w14:paraId="2D4DF9C1" w14:textId="77777777" w:rsidR="003575FE" w:rsidRPr="0014137C" w:rsidRDefault="003575FE" w:rsidP="00C70600">
            <w:pPr>
              <w:spacing w:line="240" w:lineRule="auto"/>
              <w:rPr>
                <w:rFonts w:cs="Arial"/>
                <w:szCs w:val="18"/>
                <w:lang w:val="en-US"/>
              </w:rPr>
            </w:pPr>
            <w:r w:rsidRPr="0014137C">
              <w:rPr>
                <w:rFonts w:cs="Arial"/>
                <w:szCs w:val="18"/>
                <w:lang w:val="en-US"/>
              </w:rPr>
              <w:t>Carbon</w:t>
            </w:r>
          </w:p>
        </w:tc>
        <w:tc>
          <w:tcPr>
            <w:tcW w:w="915" w:type="pct"/>
            <w:tcBorders>
              <w:top w:val="single" w:sz="4" w:space="0" w:color="00B050"/>
            </w:tcBorders>
          </w:tcPr>
          <w:p w14:paraId="23733170" w14:textId="3E734DDA" w:rsidR="003575FE" w:rsidRPr="0014137C" w:rsidRDefault="003575FE" w:rsidP="00C70600">
            <w:pPr>
              <w:spacing w:line="240" w:lineRule="auto"/>
              <w:jc w:val="center"/>
              <w:rPr>
                <w:rFonts w:cs="Arial"/>
                <w:szCs w:val="18"/>
                <w:lang w:val="pt-BR"/>
              </w:rPr>
            </w:pPr>
            <w:r w:rsidRPr="0014137C">
              <w:rPr>
                <w:rFonts w:cs="Arial"/>
                <w:szCs w:val="18"/>
                <w:lang w:val="en-US"/>
              </w:rPr>
              <w:t>51.783</w:t>
            </w:r>
            <w:r w:rsidR="000D5871" w:rsidRPr="0014137C">
              <w:rPr>
                <w:rFonts w:cs="Arial"/>
                <w:szCs w:val="18"/>
                <w:lang w:val="en-US"/>
              </w:rPr>
              <w:t xml:space="preserve"> </w:t>
            </w:r>
            <m:oMath>
              <m:r>
                <w:rPr>
                  <w:rFonts w:ascii="Cambria Math" w:hAnsi="Cambria Math" w:cs="Arial"/>
                  <w:szCs w:val="18"/>
                  <w:lang w:val="en-US"/>
                </w:rPr>
                <m:t xml:space="preserve">± </m:t>
              </m:r>
            </m:oMath>
            <w:r w:rsidRPr="0014137C">
              <w:rPr>
                <w:rFonts w:cs="Arial"/>
                <w:szCs w:val="18"/>
                <w:lang w:val="pt-BR"/>
              </w:rPr>
              <w:t>0.497</w:t>
            </w:r>
          </w:p>
        </w:tc>
        <w:tc>
          <w:tcPr>
            <w:tcW w:w="1111" w:type="pct"/>
            <w:tcBorders>
              <w:top w:val="single" w:sz="4" w:space="0" w:color="00B050"/>
            </w:tcBorders>
          </w:tcPr>
          <w:p w14:paraId="153C64BD" w14:textId="77777777" w:rsidR="003575FE" w:rsidRPr="0014137C" w:rsidRDefault="003575FE" w:rsidP="00C70600">
            <w:pPr>
              <w:spacing w:line="240" w:lineRule="auto"/>
              <w:jc w:val="center"/>
              <w:rPr>
                <w:rFonts w:cs="Arial"/>
                <w:szCs w:val="18"/>
                <w:lang w:val="en-US"/>
              </w:rPr>
            </w:pPr>
            <w:r w:rsidRPr="0014137C">
              <w:rPr>
                <w:rFonts w:cs="Arial"/>
                <w:szCs w:val="18"/>
                <w:lang w:val="en-US"/>
              </w:rPr>
              <w:t>42.130</w:t>
            </w:r>
          </w:p>
        </w:tc>
        <w:tc>
          <w:tcPr>
            <w:tcW w:w="780" w:type="pct"/>
            <w:tcBorders>
              <w:top w:val="single" w:sz="4" w:space="0" w:color="00B050"/>
            </w:tcBorders>
          </w:tcPr>
          <w:p w14:paraId="48F17256" w14:textId="77777777" w:rsidR="003575FE" w:rsidRPr="0014137C" w:rsidRDefault="003575FE" w:rsidP="00C70600">
            <w:pPr>
              <w:spacing w:line="240" w:lineRule="auto"/>
              <w:jc w:val="center"/>
              <w:rPr>
                <w:rFonts w:cs="Arial"/>
                <w:szCs w:val="18"/>
                <w:lang w:val="en-US"/>
              </w:rPr>
            </w:pPr>
            <w:r w:rsidRPr="0014137C">
              <w:rPr>
                <w:rFonts w:cs="Arial"/>
                <w:szCs w:val="18"/>
                <w:lang w:val="en-US"/>
              </w:rPr>
              <w:t>41.300</w:t>
            </w:r>
          </w:p>
        </w:tc>
        <w:tc>
          <w:tcPr>
            <w:tcW w:w="938" w:type="pct"/>
            <w:tcBorders>
              <w:top w:val="single" w:sz="4" w:space="0" w:color="00B050"/>
            </w:tcBorders>
          </w:tcPr>
          <w:p w14:paraId="71BC389D" w14:textId="7A4DC855" w:rsidR="003575FE" w:rsidRPr="0014137C" w:rsidRDefault="003575FE" w:rsidP="00C70600">
            <w:pPr>
              <w:spacing w:line="240" w:lineRule="auto"/>
              <w:jc w:val="center"/>
              <w:rPr>
                <w:rFonts w:cs="Arial"/>
                <w:szCs w:val="18"/>
                <w:lang w:val="en-US"/>
              </w:rPr>
            </w:pPr>
            <w:r w:rsidRPr="0014137C">
              <w:rPr>
                <w:rFonts w:cs="Arial"/>
                <w:szCs w:val="18"/>
                <w:lang w:val="en-US"/>
              </w:rPr>
              <w:t>44.83</w:t>
            </w:r>
            <w:r w:rsidR="000D5871" w:rsidRPr="0014137C">
              <w:rPr>
                <w:rFonts w:cs="Arial"/>
                <w:szCs w:val="18"/>
                <w:lang w:val="en-US"/>
              </w:rPr>
              <w:t>0</w:t>
            </w:r>
          </w:p>
        </w:tc>
      </w:tr>
      <w:tr w:rsidR="003575FE" w:rsidRPr="0014137C" w14:paraId="4242ED23" w14:textId="77777777" w:rsidTr="009E2095">
        <w:tc>
          <w:tcPr>
            <w:tcW w:w="1256" w:type="pct"/>
          </w:tcPr>
          <w:p w14:paraId="697187C6" w14:textId="77777777" w:rsidR="003575FE" w:rsidRPr="0014137C" w:rsidRDefault="003575FE" w:rsidP="00C70600">
            <w:pPr>
              <w:spacing w:line="240" w:lineRule="auto"/>
              <w:rPr>
                <w:rFonts w:cs="Arial"/>
                <w:szCs w:val="18"/>
                <w:lang w:val="en-US"/>
              </w:rPr>
            </w:pPr>
            <w:r w:rsidRPr="0014137C">
              <w:rPr>
                <w:rFonts w:cs="Arial"/>
                <w:szCs w:val="18"/>
                <w:lang w:val="en-US"/>
              </w:rPr>
              <w:t>Hydrogen</w:t>
            </w:r>
          </w:p>
        </w:tc>
        <w:tc>
          <w:tcPr>
            <w:tcW w:w="915" w:type="pct"/>
          </w:tcPr>
          <w:p w14:paraId="4372B675" w14:textId="4FDAE44E" w:rsidR="003575FE" w:rsidRPr="0014137C" w:rsidRDefault="003575FE" w:rsidP="00C70600">
            <w:pPr>
              <w:spacing w:line="240" w:lineRule="auto"/>
              <w:jc w:val="center"/>
              <w:rPr>
                <w:rFonts w:cs="Arial"/>
                <w:szCs w:val="18"/>
                <w:lang w:val="pt-BR"/>
              </w:rPr>
            </w:pPr>
            <w:r w:rsidRPr="0014137C">
              <w:rPr>
                <w:rFonts w:cs="Arial"/>
                <w:szCs w:val="18"/>
                <w:lang w:val="en-US"/>
              </w:rPr>
              <w:t>7.1</w:t>
            </w:r>
            <w:r w:rsidR="000D5871" w:rsidRPr="0014137C">
              <w:rPr>
                <w:rFonts w:cs="Arial"/>
                <w:szCs w:val="18"/>
                <w:lang w:val="en-US"/>
              </w:rPr>
              <w:t>00</w:t>
            </w:r>
            <m:oMath>
              <m:r>
                <w:rPr>
                  <w:rFonts w:ascii="Cambria Math" w:hAnsi="Cambria Math" w:cs="Arial"/>
                  <w:szCs w:val="18"/>
                  <w:lang w:val="en-US"/>
                </w:rPr>
                <m:t xml:space="preserve"> ±</m:t>
              </m:r>
            </m:oMath>
            <w:r w:rsidR="000D5871" w:rsidRPr="0014137C">
              <w:rPr>
                <w:rFonts w:cs="Arial"/>
                <w:szCs w:val="18"/>
                <w:lang w:val="en-US"/>
              </w:rPr>
              <w:t xml:space="preserve"> </w:t>
            </w:r>
            <w:r w:rsidRPr="0014137C">
              <w:rPr>
                <w:rFonts w:cs="Arial"/>
                <w:szCs w:val="18"/>
                <w:lang w:val="pt-BR"/>
              </w:rPr>
              <w:t>0.049</w:t>
            </w:r>
          </w:p>
        </w:tc>
        <w:tc>
          <w:tcPr>
            <w:tcW w:w="1111" w:type="pct"/>
          </w:tcPr>
          <w:p w14:paraId="22CE8630" w14:textId="77777777" w:rsidR="003575FE" w:rsidRPr="0014137C" w:rsidRDefault="003575FE" w:rsidP="00C70600">
            <w:pPr>
              <w:spacing w:line="240" w:lineRule="auto"/>
              <w:jc w:val="center"/>
              <w:rPr>
                <w:rFonts w:cs="Arial"/>
                <w:szCs w:val="18"/>
                <w:lang w:val="en-US"/>
              </w:rPr>
            </w:pPr>
            <w:r w:rsidRPr="0014137C">
              <w:rPr>
                <w:rFonts w:cs="Arial"/>
                <w:szCs w:val="18"/>
                <w:lang w:val="en-US"/>
              </w:rPr>
              <w:t>5.370</w:t>
            </w:r>
          </w:p>
        </w:tc>
        <w:tc>
          <w:tcPr>
            <w:tcW w:w="780" w:type="pct"/>
          </w:tcPr>
          <w:p w14:paraId="67FEB78D" w14:textId="77777777" w:rsidR="003575FE" w:rsidRPr="0014137C" w:rsidRDefault="003575FE" w:rsidP="00C70600">
            <w:pPr>
              <w:spacing w:line="240" w:lineRule="auto"/>
              <w:jc w:val="center"/>
              <w:rPr>
                <w:rFonts w:cs="Arial"/>
                <w:szCs w:val="18"/>
                <w:lang w:val="en-US"/>
              </w:rPr>
            </w:pPr>
            <w:r w:rsidRPr="0014137C">
              <w:rPr>
                <w:rFonts w:cs="Arial"/>
                <w:szCs w:val="18"/>
                <w:lang w:val="en-US"/>
              </w:rPr>
              <w:t>5.110</w:t>
            </w:r>
          </w:p>
        </w:tc>
        <w:tc>
          <w:tcPr>
            <w:tcW w:w="938" w:type="pct"/>
          </w:tcPr>
          <w:p w14:paraId="31D48D71" w14:textId="150B57BF" w:rsidR="003575FE" w:rsidRPr="0014137C" w:rsidRDefault="003575FE" w:rsidP="00C70600">
            <w:pPr>
              <w:spacing w:line="240" w:lineRule="auto"/>
              <w:jc w:val="center"/>
              <w:rPr>
                <w:rFonts w:cs="Arial"/>
                <w:szCs w:val="18"/>
                <w:lang w:val="en-US"/>
              </w:rPr>
            </w:pPr>
            <w:r w:rsidRPr="0014137C">
              <w:rPr>
                <w:rFonts w:cs="Arial"/>
                <w:szCs w:val="18"/>
                <w:lang w:val="en-US"/>
              </w:rPr>
              <w:t>6.16</w:t>
            </w:r>
            <w:r w:rsidR="000D5871" w:rsidRPr="0014137C">
              <w:rPr>
                <w:rFonts w:cs="Arial"/>
                <w:szCs w:val="18"/>
                <w:lang w:val="en-US"/>
              </w:rPr>
              <w:t>0</w:t>
            </w:r>
          </w:p>
        </w:tc>
      </w:tr>
      <w:tr w:rsidR="003575FE" w:rsidRPr="0014137C" w14:paraId="13E78CBB" w14:textId="77777777" w:rsidTr="009E2095">
        <w:tc>
          <w:tcPr>
            <w:tcW w:w="1256" w:type="pct"/>
          </w:tcPr>
          <w:p w14:paraId="1C901D53" w14:textId="77777777" w:rsidR="003575FE" w:rsidRPr="0014137C" w:rsidRDefault="003575FE" w:rsidP="00C70600">
            <w:pPr>
              <w:spacing w:line="240" w:lineRule="auto"/>
              <w:rPr>
                <w:rFonts w:cs="Arial"/>
                <w:szCs w:val="18"/>
                <w:lang w:val="en-US"/>
              </w:rPr>
            </w:pPr>
            <w:r w:rsidRPr="0014137C">
              <w:rPr>
                <w:rFonts w:cs="Arial"/>
                <w:szCs w:val="18"/>
                <w:lang w:val="en-US"/>
              </w:rPr>
              <w:t>Sulfur</w:t>
            </w:r>
          </w:p>
        </w:tc>
        <w:tc>
          <w:tcPr>
            <w:tcW w:w="915" w:type="pct"/>
          </w:tcPr>
          <w:p w14:paraId="5FC1C92D" w14:textId="1FEB7D8F" w:rsidR="003575FE" w:rsidRPr="0014137C" w:rsidRDefault="00776BD4" w:rsidP="00C70600">
            <w:pPr>
              <w:spacing w:line="240" w:lineRule="auto"/>
              <w:jc w:val="center"/>
              <w:rPr>
                <w:rFonts w:cs="Arial"/>
                <w:szCs w:val="18"/>
                <w:lang w:val="pt-BR"/>
              </w:rPr>
            </w:pPr>
            <w:r w:rsidRPr="0014137C">
              <w:rPr>
                <w:rFonts w:cs="Arial"/>
                <w:szCs w:val="18"/>
                <w:lang w:val="en-US"/>
              </w:rPr>
              <w:t>0</w:t>
            </w:r>
            <w:r w:rsidR="003575FE" w:rsidRPr="0014137C">
              <w:rPr>
                <w:rFonts w:cs="Arial"/>
                <w:szCs w:val="18"/>
                <w:lang w:val="en-US"/>
              </w:rPr>
              <w:t>.409</w:t>
            </w:r>
            <w:r w:rsidR="000D5871" w:rsidRPr="0014137C">
              <w:rPr>
                <w:rFonts w:cs="Arial"/>
                <w:szCs w:val="18"/>
                <w:lang w:val="en-US"/>
              </w:rPr>
              <w:t xml:space="preserve"> </w:t>
            </w:r>
            <m:oMath>
              <m:r>
                <w:rPr>
                  <w:rFonts w:ascii="Cambria Math" w:hAnsi="Cambria Math" w:cs="Arial"/>
                  <w:szCs w:val="18"/>
                  <w:lang w:val="en-US"/>
                </w:rPr>
                <m:t xml:space="preserve">± </m:t>
              </m:r>
            </m:oMath>
            <w:r w:rsidR="003575FE" w:rsidRPr="0014137C">
              <w:rPr>
                <w:rFonts w:cs="Arial"/>
                <w:szCs w:val="18"/>
                <w:lang w:val="pt-BR"/>
              </w:rPr>
              <w:t>1.284</w:t>
            </w:r>
          </w:p>
        </w:tc>
        <w:tc>
          <w:tcPr>
            <w:tcW w:w="1111" w:type="pct"/>
          </w:tcPr>
          <w:p w14:paraId="284F9CE4" w14:textId="77777777" w:rsidR="003575FE" w:rsidRPr="0014137C" w:rsidRDefault="003575FE" w:rsidP="00C70600">
            <w:pPr>
              <w:spacing w:line="240" w:lineRule="auto"/>
              <w:jc w:val="center"/>
              <w:rPr>
                <w:rFonts w:cs="Arial"/>
                <w:szCs w:val="18"/>
                <w:lang w:val="en-US"/>
              </w:rPr>
            </w:pPr>
            <w:r w:rsidRPr="0014137C">
              <w:rPr>
                <w:rFonts w:cs="Arial"/>
                <w:szCs w:val="18"/>
                <w:lang w:val="en-US"/>
              </w:rPr>
              <w:t>0.028</w:t>
            </w:r>
          </w:p>
        </w:tc>
        <w:tc>
          <w:tcPr>
            <w:tcW w:w="780" w:type="pct"/>
          </w:tcPr>
          <w:p w14:paraId="11428CA1" w14:textId="77777777" w:rsidR="003575FE" w:rsidRPr="0014137C" w:rsidRDefault="003575FE" w:rsidP="00C70600">
            <w:pPr>
              <w:spacing w:line="240" w:lineRule="auto"/>
              <w:jc w:val="center"/>
              <w:rPr>
                <w:rFonts w:cs="Arial"/>
                <w:szCs w:val="18"/>
                <w:lang w:val="en-US"/>
              </w:rPr>
            </w:pPr>
            <w:r w:rsidRPr="0014137C">
              <w:rPr>
                <w:rFonts w:cs="Arial"/>
                <w:szCs w:val="18"/>
                <w:lang w:val="en-US"/>
              </w:rPr>
              <w:t>0.022</w:t>
            </w:r>
          </w:p>
        </w:tc>
        <w:tc>
          <w:tcPr>
            <w:tcW w:w="938" w:type="pct"/>
          </w:tcPr>
          <w:p w14:paraId="4119C000" w14:textId="77777777" w:rsidR="003575FE" w:rsidRPr="0014137C" w:rsidRDefault="003575FE" w:rsidP="00C70600">
            <w:pPr>
              <w:spacing w:line="240" w:lineRule="auto"/>
              <w:jc w:val="center"/>
              <w:rPr>
                <w:rFonts w:cs="Arial"/>
                <w:szCs w:val="18"/>
                <w:lang w:val="en-US"/>
              </w:rPr>
            </w:pPr>
            <w:r w:rsidRPr="0014137C">
              <w:rPr>
                <w:rFonts w:cs="Arial"/>
                <w:szCs w:val="18"/>
                <w:lang w:val="en-US"/>
              </w:rPr>
              <w:t>-</w:t>
            </w:r>
          </w:p>
        </w:tc>
      </w:tr>
      <w:tr w:rsidR="003575FE" w:rsidRPr="0014137C" w14:paraId="67F36336" w14:textId="77777777" w:rsidTr="009E2095">
        <w:tc>
          <w:tcPr>
            <w:tcW w:w="1256" w:type="pct"/>
          </w:tcPr>
          <w:p w14:paraId="350E9569" w14:textId="77777777" w:rsidR="003575FE" w:rsidRPr="0014137C" w:rsidRDefault="003575FE" w:rsidP="00C70600">
            <w:pPr>
              <w:spacing w:line="240" w:lineRule="auto"/>
              <w:rPr>
                <w:rFonts w:cs="Arial"/>
                <w:szCs w:val="18"/>
                <w:lang w:val="en-US"/>
              </w:rPr>
            </w:pPr>
            <w:r w:rsidRPr="0014137C">
              <w:rPr>
                <w:rFonts w:cs="Arial"/>
                <w:szCs w:val="18"/>
                <w:lang w:val="en-US"/>
              </w:rPr>
              <w:t>Nitrogen</w:t>
            </w:r>
          </w:p>
        </w:tc>
        <w:tc>
          <w:tcPr>
            <w:tcW w:w="915" w:type="pct"/>
          </w:tcPr>
          <w:p w14:paraId="0B86AED2" w14:textId="35A2C8C1" w:rsidR="003575FE" w:rsidRPr="0014137C" w:rsidRDefault="00776BD4" w:rsidP="00C70600">
            <w:pPr>
              <w:spacing w:line="240" w:lineRule="auto"/>
              <w:jc w:val="center"/>
              <w:rPr>
                <w:rFonts w:cs="Arial"/>
                <w:szCs w:val="18"/>
                <w:lang w:val="pt-BR"/>
              </w:rPr>
            </w:pPr>
            <w:r w:rsidRPr="0014137C">
              <w:rPr>
                <w:rFonts w:cs="Arial"/>
                <w:szCs w:val="18"/>
                <w:lang w:val="en-US"/>
              </w:rPr>
              <w:t>4</w:t>
            </w:r>
            <w:r w:rsidR="003575FE" w:rsidRPr="0014137C">
              <w:rPr>
                <w:rFonts w:cs="Arial"/>
                <w:szCs w:val="18"/>
                <w:lang w:val="en-US"/>
              </w:rPr>
              <w:t>.043</w:t>
            </w:r>
            <m:oMath>
              <m:r>
                <w:rPr>
                  <w:rFonts w:ascii="Cambria Math" w:hAnsi="Cambria Math" w:cs="Arial"/>
                  <w:szCs w:val="18"/>
                  <w:lang w:val="en-US"/>
                </w:rPr>
                <m:t xml:space="preserve"> ±</m:t>
              </m:r>
            </m:oMath>
            <w:r w:rsidR="000D5871" w:rsidRPr="0014137C">
              <w:rPr>
                <w:rFonts w:cs="Arial"/>
                <w:szCs w:val="18"/>
                <w:lang w:val="en-US"/>
              </w:rPr>
              <w:t xml:space="preserve"> </w:t>
            </w:r>
            <w:r w:rsidR="003575FE" w:rsidRPr="0014137C">
              <w:rPr>
                <w:rFonts w:cs="Arial"/>
                <w:szCs w:val="18"/>
                <w:lang w:val="pt-BR"/>
              </w:rPr>
              <w:t>0.011</w:t>
            </w:r>
          </w:p>
        </w:tc>
        <w:tc>
          <w:tcPr>
            <w:tcW w:w="1111" w:type="pct"/>
          </w:tcPr>
          <w:p w14:paraId="48ED6151" w14:textId="77777777" w:rsidR="003575FE" w:rsidRPr="0014137C" w:rsidRDefault="003575FE" w:rsidP="00C70600">
            <w:pPr>
              <w:spacing w:line="240" w:lineRule="auto"/>
              <w:jc w:val="center"/>
              <w:rPr>
                <w:rFonts w:cs="Arial"/>
                <w:szCs w:val="18"/>
                <w:lang w:val="en-US"/>
              </w:rPr>
            </w:pPr>
            <w:r w:rsidRPr="0014137C">
              <w:rPr>
                <w:rFonts w:cs="Arial"/>
                <w:szCs w:val="18"/>
                <w:lang w:val="en-US"/>
              </w:rPr>
              <w:t>0.480</w:t>
            </w:r>
          </w:p>
        </w:tc>
        <w:tc>
          <w:tcPr>
            <w:tcW w:w="780" w:type="pct"/>
          </w:tcPr>
          <w:p w14:paraId="55BB2EA6" w14:textId="77777777" w:rsidR="003575FE" w:rsidRPr="0014137C" w:rsidRDefault="003575FE" w:rsidP="00C70600">
            <w:pPr>
              <w:spacing w:line="240" w:lineRule="auto"/>
              <w:jc w:val="center"/>
              <w:rPr>
                <w:rFonts w:cs="Arial"/>
                <w:szCs w:val="18"/>
                <w:lang w:val="en-US"/>
              </w:rPr>
            </w:pPr>
            <w:r w:rsidRPr="0014137C">
              <w:rPr>
                <w:rFonts w:cs="Arial"/>
                <w:szCs w:val="18"/>
                <w:lang w:val="en-US"/>
              </w:rPr>
              <w:t>0.450</w:t>
            </w:r>
          </w:p>
        </w:tc>
        <w:tc>
          <w:tcPr>
            <w:tcW w:w="938" w:type="pct"/>
          </w:tcPr>
          <w:p w14:paraId="08F9886D" w14:textId="2D1E46EE" w:rsidR="003575FE" w:rsidRPr="0014137C" w:rsidRDefault="003575FE" w:rsidP="00C70600">
            <w:pPr>
              <w:spacing w:line="240" w:lineRule="auto"/>
              <w:jc w:val="center"/>
              <w:rPr>
                <w:rFonts w:cs="Arial"/>
                <w:szCs w:val="18"/>
                <w:lang w:val="en-US"/>
              </w:rPr>
            </w:pPr>
            <w:r w:rsidRPr="0014137C">
              <w:rPr>
                <w:rFonts w:cs="Arial"/>
                <w:szCs w:val="18"/>
                <w:lang w:val="en-US"/>
              </w:rPr>
              <w:t>0.79</w:t>
            </w:r>
            <w:r w:rsidR="000D5871" w:rsidRPr="0014137C">
              <w:rPr>
                <w:rFonts w:cs="Arial"/>
                <w:szCs w:val="18"/>
                <w:lang w:val="en-US"/>
              </w:rPr>
              <w:t>0</w:t>
            </w:r>
          </w:p>
        </w:tc>
      </w:tr>
      <w:tr w:rsidR="003575FE" w:rsidRPr="0014137C" w14:paraId="0F58A688" w14:textId="77777777" w:rsidTr="009E2095">
        <w:tc>
          <w:tcPr>
            <w:tcW w:w="1256" w:type="pct"/>
          </w:tcPr>
          <w:p w14:paraId="7F31EF7F" w14:textId="77777777" w:rsidR="003575FE" w:rsidRPr="0014137C" w:rsidRDefault="003575FE" w:rsidP="00C70600">
            <w:pPr>
              <w:spacing w:line="240" w:lineRule="auto"/>
              <w:rPr>
                <w:rFonts w:cs="Arial"/>
                <w:szCs w:val="18"/>
                <w:lang w:val="en-US"/>
              </w:rPr>
            </w:pPr>
            <w:r w:rsidRPr="0014137C">
              <w:rPr>
                <w:rFonts w:cs="Arial"/>
                <w:szCs w:val="18"/>
                <w:lang w:val="en-US"/>
              </w:rPr>
              <w:t>Oxygen</w:t>
            </w:r>
            <w:r w:rsidRPr="0014137C">
              <w:rPr>
                <w:rFonts w:cs="Arial"/>
                <w:szCs w:val="18"/>
                <w:vertAlign w:val="superscript"/>
                <w:lang w:val="en-US"/>
              </w:rPr>
              <w:t>1</w:t>
            </w:r>
          </w:p>
        </w:tc>
        <w:tc>
          <w:tcPr>
            <w:tcW w:w="915" w:type="pct"/>
          </w:tcPr>
          <w:p w14:paraId="39BDD605" w14:textId="77777777" w:rsidR="003575FE" w:rsidRPr="0014137C" w:rsidRDefault="003575FE" w:rsidP="00C70600">
            <w:pPr>
              <w:spacing w:line="240" w:lineRule="auto"/>
              <w:jc w:val="center"/>
              <w:rPr>
                <w:rFonts w:cs="Arial"/>
                <w:szCs w:val="18"/>
                <w:lang w:val="en-US"/>
              </w:rPr>
            </w:pPr>
            <w:r w:rsidRPr="0014137C">
              <w:rPr>
                <w:rFonts w:cs="Arial"/>
                <w:szCs w:val="18"/>
                <w:lang w:val="en-US"/>
              </w:rPr>
              <w:t xml:space="preserve">35.191 </w:t>
            </w:r>
          </w:p>
        </w:tc>
        <w:tc>
          <w:tcPr>
            <w:tcW w:w="1111" w:type="pct"/>
          </w:tcPr>
          <w:p w14:paraId="42C85376" w14:textId="77777777" w:rsidR="003575FE" w:rsidRPr="0014137C" w:rsidRDefault="003575FE" w:rsidP="00C70600">
            <w:pPr>
              <w:spacing w:line="240" w:lineRule="auto"/>
              <w:jc w:val="center"/>
              <w:rPr>
                <w:rFonts w:cs="Arial"/>
                <w:szCs w:val="18"/>
                <w:lang w:val="en-US"/>
              </w:rPr>
            </w:pPr>
            <w:r w:rsidRPr="0014137C">
              <w:rPr>
                <w:rFonts w:cs="Arial"/>
                <w:szCs w:val="18"/>
                <w:lang w:val="en-US"/>
              </w:rPr>
              <w:t>47.740</w:t>
            </w:r>
          </w:p>
        </w:tc>
        <w:tc>
          <w:tcPr>
            <w:tcW w:w="780" w:type="pct"/>
          </w:tcPr>
          <w:p w14:paraId="1A36A0F3" w14:textId="77777777" w:rsidR="003575FE" w:rsidRPr="0014137C" w:rsidRDefault="003575FE" w:rsidP="00C70600">
            <w:pPr>
              <w:spacing w:line="240" w:lineRule="auto"/>
              <w:jc w:val="center"/>
              <w:rPr>
                <w:rFonts w:cs="Arial"/>
                <w:szCs w:val="18"/>
                <w:lang w:val="en-US"/>
              </w:rPr>
            </w:pPr>
            <w:r w:rsidRPr="0014137C">
              <w:rPr>
                <w:rFonts w:cs="Arial"/>
                <w:szCs w:val="18"/>
                <w:lang w:val="en-US"/>
              </w:rPr>
              <w:t>33.470</w:t>
            </w:r>
          </w:p>
        </w:tc>
        <w:tc>
          <w:tcPr>
            <w:tcW w:w="938" w:type="pct"/>
          </w:tcPr>
          <w:p w14:paraId="3CC93DE7" w14:textId="7D93F19F" w:rsidR="003575FE" w:rsidRPr="0014137C" w:rsidRDefault="003575FE" w:rsidP="00C70600">
            <w:pPr>
              <w:spacing w:line="240" w:lineRule="auto"/>
              <w:jc w:val="center"/>
              <w:rPr>
                <w:rFonts w:cs="Arial"/>
                <w:szCs w:val="18"/>
                <w:lang w:val="en-US"/>
              </w:rPr>
            </w:pPr>
            <w:r w:rsidRPr="0014137C">
              <w:rPr>
                <w:rFonts w:cs="Arial"/>
                <w:szCs w:val="18"/>
                <w:lang w:val="en-US"/>
              </w:rPr>
              <w:t>48.22</w:t>
            </w:r>
            <w:r w:rsidR="000D5871" w:rsidRPr="0014137C">
              <w:rPr>
                <w:rFonts w:cs="Arial"/>
                <w:szCs w:val="18"/>
                <w:lang w:val="en-US"/>
              </w:rPr>
              <w:t>0</w:t>
            </w:r>
          </w:p>
        </w:tc>
      </w:tr>
      <w:tr w:rsidR="003575FE" w:rsidRPr="0014137C" w14:paraId="50202729" w14:textId="77777777" w:rsidTr="009E2095">
        <w:tc>
          <w:tcPr>
            <w:tcW w:w="1256" w:type="pct"/>
          </w:tcPr>
          <w:p w14:paraId="56F95A30" w14:textId="77777777" w:rsidR="003575FE" w:rsidRPr="0014137C" w:rsidRDefault="003575FE" w:rsidP="00C70600">
            <w:pPr>
              <w:spacing w:line="240" w:lineRule="auto"/>
              <w:rPr>
                <w:rFonts w:cs="Arial"/>
                <w:szCs w:val="18"/>
                <w:lang w:val="en-US"/>
              </w:rPr>
            </w:pPr>
            <w:r w:rsidRPr="0014137C">
              <w:rPr>
                <w:rFonts w:cs="Arial"/>
                <w:szCs w:val="18"/>
                <w:lang w:val="en-US"/>
              </w:rPr>
              <w:t>O/C ratio</w:t>
            </w:r>
          </w:p>
        </w:tc>
        <w:tc>
          <w:tcPr>
            <w:tcW w:w="915" w:type="pct"/>
          </w:tcPr>
          <w:p w14:paraId="3705D8C7" w14:textId="77777777" w:rsidR="003575FE" w:rsidRPr="0014137C" w:rsidRDefault="003575FE" w:rsidP="00C70600">
            <w:pPr>
              <w:spacing w:line="240" w:lineRule="auto"/>
              <w:jc w:val="center"/>
              <w:rPr>
                <w:rFonts w:cs="Arial"/>
                <w:szCs w:val="18"/>
                <w:lang w:val="pt-BR"/>
              </w:rPr>
            </w:pPr>
            <w:r w:rsidRPr="0014137C">
              <w:rPr>
                <w:rFonts w:cs="Arial"/>
                <w:szCs w:val="18"/>
                <w:lang w:val="pt-BR"/>
              </w:rPr>
              <w:t>0.510</w:t>
            </w:r>
          </w:p>
        </w:tc>
        <w:tc>
          <w:tcPr>
            <w:tcW w:w="1111" w:type="pct"/>
          </w:tcPr>
          <w:p w14:paraId="765A0F00" w14:textId="77777777" w:rsidR="003575FE" w:rsidRPr="0014137C" w:rsidRDefault="003575FE" w:rsidP="00C70600">
            <w:pPr>
              <w:spacing w:line="240" w:lineRule="auto"/>
              <w:jc w:val="center"/>
              <w:rPr>
                <w:rFonts w:cs="Arial"/>
                <w:szCs w:val="18"/>
                <w:lang w:val="en-US"/>
              </w:rPr>
            </w:pPr>
            <w:r w:rsidRPr="0014137C">
              <w:rPr>
                <w:rFonts w:cs="Arial"/>
                <w:szCs w:val="18"/>
                <w:lang w:val="en-US"/>
              </w:rPr>
              <w:t>0.851</w:t>
            </w:r>
          </w:p>
        </w:tc>
        <w:tc>
          <w:tcPr>
            <w:tcW w:w="780" w:type="pct"/>
          </w:tcPr>
          <w:p w14:paraId="77FE627D" w14:textId="77777777" w:rsidR="003575FE" w:rsidRPr="0014137C" w:rsidRDefault="003575FE" w:rsidP="00C70600">
            <w:pPr>
              <w:spacing w:line="240" w:lineRule="auto"/>
              <w:jc w:val="center"/>
              <w:rPr>
                <w:rFonts w:cs="Arial"/>
                <w:szCs w:val="18"/>
                <w:lang w:val="en-US"/>
              </w:rPr>
            </w:pPr>
            <w:r w:rsidRPr="0014137C">
              <w:rPr>
                <w:rFonts w:cs="Arial"/>
                <w:szCs w:val="18"/>
                <w:lang w:val="en-US"/>
              </w:rPr>
              <w:t>0.607</w:t>
            </w:r>
          </w:p>
        </w:tc>
        <w:tc>
          <w:tcPr>
            <w:tcW w:w="938" w:type="pct"/>
          </w:tcPr>
          <w:p w14:paraId="75156066" w14:textId="77777777" w:rsidR="003575FE" w:rsidRPr="0014137C" w:rsidRDefault="003575FE" w:rsidP="00C70600">
            <w:pPr>
              <w:spacing w:line="240" w:lineRule="auto"/>
              <w:jc w:val="center"/>
              <w:rPr>
                <w:rFonts w:cs="Arial"/>
                <w:szCs w:val="18"/>
                <w:lang w:val="en-US"/>
              </w:rPr>
            </w:pPr>
            <w:r w:rsidRPr="0014137C">
              <w:rPr>
                <w:rFonts w:cs="Arial"/>
                <w:szCs w:val="18"/>
                <w:lang w:val="en-US"/>
              </w:rPr>
              <w:t>0.769</w:t>
            </w:r>
          </w:p>
        </w:tc>
      </w:tr>
      <w:tr w:rsidR="003575FE" w:rsidRPr="0014137C" w14:paraId="7BF316BB" w14:textId="77777777" w:rsidTr="009E2095">
        <w:tc>
          <w:tcPr>
            <w:tcW w:w="1256" w:type="pct"/>
          </w:tcPr>
          <w:p w14:paraId="7C8B1E57" w14:textId="77777777" w:rsidR="003575FE" w:rsidRPr="0014137C" w:rsidRDefault="003575FE" w:rsidP="00C70600">
            <w:pPr>
              <w:spacing w:line="240" w:lineRule="auto"/>
              <w:rPr>
                <w:rFonts w:cs="Arial"/>
                <w:szCs w:val="18"/>
                <w:lang w:val="en-US"/>
              </w:rPr>
            </w:pPr>
            <w:r w:rsidRPr="0014137C">
              <w:rPr>
                <w:rFonts w:cs="Arial"/>
                <w:szCs w:val="18"/>
                <w:lang w:val="en-US"/>
              </w:rPr>
              <w:t xml:space="preserve"> H/C ratio</w:t>
            </w:r>
          </w:p>
        </w:tc>
        <w:tc>
          <w:tcPr>
            <w:tcW w:w="915" w:type="pct"/>
          </w:tcPr>
          <w:p w14:paraId="0017F6A1" w14:textId="77777777" w:rsidR="003575FE" w:rsidRPr="0014137C" w:rsidRDefault="003575FE" w:rsidP="00C70600">
            <w:pPr>
              <w:spacing w:line="240" w:lineRule="auto"/>
              <w:jc w:val="center"/>
              <w:rPr>
                <w:rFonts w:cs="Arial"/>
                <w:szCs w:val="18"/>
                <w:lang w:val="pt-BR"/>
              </w:rPr>
            </w:pPr>
            <w:r w:rsidRPr="0014137C">
              <w:rPr>
                <w:rFonts w:cs="Arial"/>
                <w:szCs w:val="18"/>
                <w:lang w:val="pt-BR"/>
              </w:rPr>
              <w:t>1.633</w:t>
            </w:r>
          </w:p>
        </w:tc>
        <w:tc>
          <w:tcPr>
            <w:tcW w:w="1111" w:type="pct"/>
          </w:tcPr>
          <w:p w14:paraId="325D3E1B" w14:textId="77777777" w:rsidR="003575FE" w:rsidRPr="0014137C" w:rsidRDefault="003575FE" w:rsidP="00C70600">
            <w:pPr>
              <w:spacing w:line="240" w:lineRule="auto"/>
              <w:jc w:val="center"/>
              <w:rPr>
                <w:rFonts w:cs="Arial"/>
                <w:szCs w:val="18"/>
                <w:lang w:val="en-US"/>
              </w:rPr>
            </w:pPr>
            <w:r w:rsidRPr="0014137C">
              <w:rPr>
                <w:rFonts w:cs="Arial"/>
                <w:szCs w:val="18"/>
                <w:lang w:val="en-US"/>
              </w:rPr>
              <w:t>1.519</w:t>
            </w:r>
          </w:p>
        </w:tc>
        <w:tc>
          <w:tcPr>
            <w:tcW w:w="780" w:type="pct"/>
          </w:tcPr>
          <w:p w14:paraId="3E244D74" w14:textId="77777777" w:rsidR="003575FE" w:rsidRPr="0014137C" w:rsidRDefault="003575FE" w:rsidP="00C70600">
            <w:pPr>
              <w:spacing w:line="240" w:lineRule="auto"/>
              <w:jc w:val="center"/>
              <w:rPr>
                <w:rFonts w:cs="Arial"/>
                <w:szCs w:val="18"/>
                <w:lang w:val="en-US"/>
              </w:rPr>
            </w:pPr>
            <w:r w:rsidRPr="0014137C">
              <w:rPr>
                <w:rFonts w:cs="Arial"/>
                <w:szCs w:val="18"/>
                <w:lang w:val="en-US"/>
              </w:rPr>
              <w:t>1.474</w:t>
            </w:r>
          </w:p>
        </w:tc>
        <w:tc>
          <w:tcPr>
            <w:tcW w:w="938" w:type="pct"/>
          </w:tcPr>
          <w:p w14:paraId="11BC32BC" w14:textId="77777777" w:rsidR="003575FE" w:rsidRPr="0014137C" w:rsidRDefault="003575FE" w:rsidP="00C70600">
            <w:pPr>
              <w:spacing w:line="240" w:lineRule="auto"/>
              <w:jc w:val="center"/>
              <w:rPr>
                <w:rFonts w:cs="Arial"/>
                <w:szCs w:val="18"/>
                <w:lang w:val="en-US"/>
              </w:rPr>
            </w:pPr>
            <w:r w:rsidRPr="0014137C">
              <w:rPr>
                <w:rFonts w:cs="Arial"/>
                <w:szCs w:val="18"/>
                <w:lang w:val="en-US"/>
              </w:rPr>
              <w:t>1.637</w:t>
            </w:r>
          </w:p>
        </w:tc>
      </w:tr>
      <w:tr w:rsidR="003575FE" w:rsidRPr="0014137C" w14:paraId="4E048EAC" w14:textId="77777777" w:rsidTr="009E2095">
        <w:tc>
          <w:tcPr>
            <w:tcW w:w="1256" w:type="pct"/>
            <w:tcBorders>
              <w:bottom w:val="single" w:sz="4" w:space="0" w:color="00B050"/>
            </w:tcBorders>
          </w:tcPr>
          <w:p w14:paraId="37BC0C3B" w14:textId="3F90A37D" w:rsidR="003575FE" w:rsidRPr="0014137C" w:rsidRDefault="003575FE" w:rsidP="00C70600">
            <w:pPr>
              <w:spacing w:line="240" w:lineRule="auto"/>
              <w:rPr>
                <w:rFonts w:cs="Arial"/>
                <w:szCs w:val="18"/>
                <w:lang w:val="en-US"/>
              </w:rPr>
            </w:pPr>
            <w:r w:rsidRPr="0014137C">
              <w:rPr>
                <w:rFonts w:cs="Arial"/>
                <w:szCs w:val="18"/>
                <w:lang w:val="en-US"/>
              </w:rPr>
              <w:t>HHV (MJ/</w:t>
            </w:r>
            <w:r w:rsidR="00707BE1" w:rsidRPr="0014137C">
              <w:rPr>
                <w:rFonts w:cs="Arial"/>
                <w:szCs w:val="18"/>
                <w:lang w:val="en-US"/>
              </w:rPr>
              <w:t>Kg)</w:t>
            </w:r>
            <w:r w:rsidR="00707BE1" w:rsidRPr="0014137C">
              <w:rPr>
                <w:rFonts w:cs="Arial"/>
                <w:szCs w:val="18"/>
                <w:vertAlign w:val="superscript"/>
                <w:lang w:val="en-US"/>
              </w:rPr>
              <w:t xml:space="preserve"> *</w:t>
            </w:r>
          </w:p>
        </w:tc>
        <w:tc>
          <w:tcPr>
            <w:tcW w:w="915" w:type="pct"/>
            <w:tcBorders>
              <w:bottom w:val="single" w:sz="4" w:space="0" w:color="00B050"/>
            </w:tcBorders>
          </w:tcPr>
          <w:p w14:paraId="442DF67F" w14:textId="77777777" w:rsidR="003575FE" w:rsidRPr="0014137C" w:rsidRDefault="003575FE" w:rsidP="00C70600">
            <w:pPr>
              <w:spacing w:line="240" w:lineRule="auto"/>
              <w:jc w:val="center"/>
              <w:rPr>
                <w:rFonts w:cs="Arial"/>
                <w:szCs w:val="18"/>
                <w:lang w:val="pt-BR"/>
              </w:rPr>
            </w:pPr>
            <w:r w:rsidRPr="0014137C">
              <w:rPr>
                <w:rFonts w:cs="Arial"/>
                <w:szCs w:val="18"/>
                <w:lang w:val="pt-BR"/>
              </w:rPr>
              <w:t>22.985</w:t>
            </w:r>
          </w:p>
        </w:tc>
        <w:tc>
          <w:tcPr>
            <w:tcW w:w="1111" w:type="pct"/>
            <w:tcBorders>
              <w:bottom w:val="single" w:sz="4" w:space="0" w:color="00B050"/>
            </w:tcBorders>
          </w:tcPr>
          <w:p w14:paraId="32562F6B" w14:textId="77777777" w:rsidR="003575FE" w:rsidRPr="0014137C" w:rsidRDefault="003575FE" w:rsidP="00C70600">
            <w:pPr>
              <w:spacing w:line="240" w:lineRule="auto"/>
              <w:jc w:val="center"/>
              <w:rPr>
                <w:rFonts w:cs="Arial"/>
                <w:szCs w:val="18"/>
                <w:lang w:val="en-US"/>
              </w:rPr>
            </w:pPr>
            <w:r w:rsidRPr="0014137C">
              <w:rPr>
                <w:rFonts w:cs="Arial"/>
                <w:szCs w:val="18"/>
                <w:lang w:val="en-US"/>
              </w:rPr>
              <w:t>16.004</w:t>
            </w:r>
          </w:p>
        </w:tc>
        <w:tc>
          <w:tcPr>
            <w:tcW w:w="780" w:type="pct"/>
            <w:tcBorders>
              <w:bottom w:val="single" w:sz="4" w:space="0" w:color="00B050"/>
            </w:tcBorders>
          </w:tcPr>
          <w:p w14:paraId="2F65E813" w14:textId="77777777" w:rsidR="003575FE" w:rsidRPr="0014137C" w:rsidRDefault="003575FE" w:rsidP="00C70600">
            <w:pPr>
              <w:spacing w:line="240" w:lineRule="auto"/>
              <w:jc w:val="center"/>
              <w:rPr>
                <w:rFonts w:cs="Arial"/>
                <w:szCs w:val="18"/>
                <w:lang w:val="en-US"/>
              </w:rPr>
            </w:pPr>
            <w:r w:rsidRPr="0014137C">
              <w:rPr>
                <w:rFonts w:cs="Arial"/>
                <w:szCs w:val="18"/>
                <w:lang w:val="en-US"/>
              </w:rPr>
              <w:t>16.567</w:t>
            </w:r>
          </w:p>
        </w:tc>
        <w:tc>
          <w:tcPr>
            <w:tcW w:w="938" w:type="pct"/>
            <w:tcBorders>
              <w:bottom w:val="single" w:sz="4" w:space="0" w:color="00B050"/>
            </w:tcBorders>
          </w:tcPr>
          <w:p w14:paraId="7384F053" w14:textId="77777777" w:rsidR="003575FE" w:rsidRPr="0014137C" w:rsidRDefault="003575FE" w:rsidP="00C70600">
            <w:pPr>
              <w:spacing w:line="240" w:lineRule="auto"/>
              <w:jc w:val="center"/>
              <w:rPr>
                <w:rFonts w:cs="Arial"/>
                <w:szCs w:val="18"/>
                <w:lang w:val="en-US"/>
              </w:rPr>
            </w:pPr>
            <w:r w:rsidRPr="0014137C">
              <w:rPr>
                <w:rFonts w:cs="Arial"/>
                <w:szCs w:val="18"/>
                <w:lang w:val="en-US"/>
              </w:rPr>
              <w:t>18.101</w:t>
            </w:r>
          </w:p>
        </w:tc>
      </w:tr>
    </w:tbl>
    <w:p w14:paraId="19EB943C" w14:textId="74C8A5DB" w:rsidR="003575FE" w:rsidRPr="0014137C" w:rsidRDefault="003575FE" w:rsidP="003575FE">
      <w:pPr>
        <w:pStyle w:val="CETBodytext"/>
        <w:spacing w:line="240" w:lineRule="auto"/>
        <w:rPr>
          <w:rFonts w:cs="Arial"/>
          <w:i/>
          <w:sz w:val="16"/>
          <w:szCs w:val="16"/>
        </w:rPr>
      </w:pPr>
      <w:r w:rsidRPr="0014137C">
        <w:rPr>
          <w:rFonts w:cs="Arial"/>
          <w:sz w:val="16"/>
          <w:szCs w:val="16"/>
          <w:vertAlign w:val="superscript"/>
        </w:rPr>
        <w:t>1</w:t>
      </w:r>
      <w:r w:rsidRPr="0014137C">
        <w:rPr>
          <w:rFonts w:cs="Arial"/>
          <w:sz w:val="16"/>
          <w:szCs w:val="16"/>
        </w:rPr>
        <w:t>Determined by difference</w:t>
      </w:r>
      <m:oMath>
        <m:r>
          <w:rPr>
            <w:rFonts w:ascii="Cambria Math" w:hAnsi="Cambria Math" w:cs="Arial"/>
            <w:sz w:val="16"/>
            <w:szCs w:val="16"/>
          </w:rPr>
          <m:t>;</m:t>
        </m:r>
      </m:oMath>
      <w:r w:rsidR="000D5871" w:rsidRPr="0014137C">
        <w:rPr>
          <w:rFonts w:cs="Arial"/>
          <w:sz w:val="16"/>
          <w:szCs w:val="16"/>
        </w:rPr>
        <w:t xml:space="preserve"> </w:t>
      </w:r>
      <w:r w:rsidR="000D5871" w:rsidRPr="0014137C">
        <w:rPr>
          <w:rFonts w:cs="Arial"/>
          <w:sz w:val="16"/>
          <w:szCs w:val="16"/>
          <w:vertAlign w:val="superscript"/>
        </w:rPr>
        <w:t>2</w:t>
      </w:r>
      <w:r w:rsidR="000D5871" w:rsidRPr="0014137C">
        <w:rPr>
          <w:rFonts w:cs="Arial"/>
          <w:sz w:val="16"/>
          <w:szCs w:val="16"/>
        </w:rPr>
        <w:t xml:space="preserve"> mean ± standard deviation (n = 3);</w:t>
      </w:r>
      <w:r w:rsidRPr="0014137C">
        <w:rPr>
          <w:rFonts w:cs="Arial"/>
          <w:i/>
          <w:sz w:val="16"/>
          <w:szCs w:val="16"/>
        </w:rPr>
        <w:t xml:space="preserve"> </w:t>
      </w:r>
      <w:r w:rsidRPr="0014137C">
        <w:rPr>
          <w:rFonts w:cs="Arial"/>
          <w:sz w:val="16"/>
          <w:szCs w:val="16"/>
          <w:vertAlign w:val="superscript"/>
        </w:rPr>
        <w:t>*</w:t>
      </w:r>
      <w:r w:rsidRPr="0014137C">
        <w:rPr>
          <w:rStyle w:val="Forte"/>
          <w:rFonts w:cs="Arial"/>
          <w:b w:val="0"/>
          <w:bCs w:val="0"/>
          <w:sz w:val="16"/>
          <w:szCs w:val="16"/>
        </w:rPr>
        <w:t>Calculated using the C</w:t>
      </w:r>
      <w:r w:rsidR="00707BE1" w:rsidRPr="0014137C">
        <w:rPr>
          <w:rStyle w:val="Forte"/>
          <w:rFonts w:cs="Arial"/>
          <w:b w:val="0"/>
          <w:bCs w:val="0"/>
          <w:sz w:val="16"/>
          <w:szCs w:val="16"/>
        </w:rPr>
        <w:t>hanniwala and Parikh</w:t>
      </w:r>
      <w:r w:rsidRPr="0014137C">
        <w:rPr>
          <w:rStyle w:val="Forte"/>
          <w:rFonts w:cs="Arial"/>
          <w:b w:val="0"/>
          <w:bCs w:val="0"/>
          <w:sz w:val="16"/>
          <w:szCs w:val="16"/>
        </w:rPr>
        <w:t xml:space="preserve"> (2002) equation:</w:t>
      </w:r>
      <w:r w:rsidRPr="0014137C">
        <w:rPr>
          <w:rFonts w:cs="Arial"/>
          <w:i/>
          <w:sz w:val="16"/>
          <w:szCs w:val="16"/>
        </w:rPr>
        <w:t xml:space="preserve"> </w:t>
      </w:r>
      <m:oMath>
        <m:r>
          <w:rPr>
            <w:rFonts w:ascii="Cambria Math" w:hAnsi="Cambria Math" w:cs="Arial"/>
            <w:sz w:val="16"/>
            <w:szCs w:val="16"/>
          </w:rPr>
          <m:t xml:space="preserve">HHV </m:t>
        </m:r>
        <m:d>
          <m:dPr>
            <m:ctrlPr>
              <w:rPr>
                <w:rFonts w:ascii="Cambria Math" w:hAnsi="Cambria Math" w:cs="Arial"/>
                <w:i/>
                <w:sz w:val="16"/>
                <w:szCs w:val="16"/>
              </w:rPr>
            </m:ctrlPr>
          </m:dPr>
          <m:e>
            <m:f>
              <m:fPr>
                <m:ctrlPr>
                  <w:rPr>
                    <w:rFonts w:ascii="Cambria Math" w:hAnsi="Cambria Math" w:cs="Arial"/>
                    <w:i/>
                    <w:sz w:val="16"/>
                    <w:szCs w:val="16"/>
                  </w:rPr>
                </m:ctrlPr>
              </m:fPr>
              <m:num>
                <m:r>
                  <w:rPr>
                    <w:rFonts w:ascii="Cambria Math" w:hAnsi="Cambria Math" w:cs="Arial"/>
                    <w:sz w:val="16"/>
                    <w:szCs w:val="16"/>
                  </w:rPr>
                  <m:t>MJ</m:t>
                </m:r>
              </m:num>
              <m:den>
                <m:r>
                  <w:rPr>
                    <w:rFonts w:ascii="Cambria Math" w:hAnsi="Cambria Math" w:cs="Arial"/>
                    <w:sz w:val="16"/>
                    <w:szCs w:val="16"/>
                  </w:rPr>
                  <m:t>Kg</m:t>
                </m:r>
              </m:den>
            </m:f>
          </m:e>
        </m:d>
        <m:r>
          <w:rPr>
            <w:rFonts w:ascii="Cambria Math" w:hAnsi="Cambria Math" w:cs="Arial"/>
            <w:sz w:val="16"/>
            <w:szCs w:val="16"/>
          </w:rPr>
          <m:t>=0.3491C+1.1783H+0.1005S-0.1035O-0.015N-0.0211Ash</m:t>
        </m:r>
      </m:oMath>
      <w:r w:rsidRPr="0014137C">
        <w:rPr>
          <w:rFonts w:cs="Arial"/>
          <w:i/>
          <w:sz w:val="16"/>
          <w:szCs w:val="16"/>
        </w:rPr>
        <w:t>;</w:t>
      </w:r>
    </w:p>
    <w:p w14:paraId="3272655D" w14:textId="77777777" w:rsidR="00FF0E1F" w:rsidRPr="0014137C" w:rsidRDefault="00FF0E1F" w:rsidP="008156B1">
      <w:pPr>
        <w:pStyle w:val="CETheadingx"/>
        <w:numPr>
          <w:ilvl w:val="1"/>
          <w:numId w:val="24"/>
        </w:numPr>
      </w:pPr>
      <w:r w:rsidRPr="0014137C">
        <w:t>FTIR analysis</w:t>
      </w:r>
    </w:p>
    <w:p w14:paraId="4EB58A3C" w14:textId="6F913E6B" w:rsidR="00FF0E1F" w:rsidRPr="0014137C" w:rsidRDefault="00FF0E1F" w:rsidP="00C65085">
      <w:pPr>
        <w:pStyle w:val="CETBodytext"/>
        <w:rPr>
          <w:lang w:val="en-GB"/>
        </w:rPr>
      </w:pPr>
      <w:r w:rsidRPr="0014137C">
        <w:rPr>
          <w:lang w:val="en-GB"/>
        </w:rPr>
        <w:t xml:space="preserve">Figure </w:t>
      </w:r>
      <w:r w:rsidR="004B3161" w:rsidRPr="0014137C">
        <w:rPr>
          <w:lang w:val="en-GB"/>
        </w:rPr>
        <w:t>2</w:t>
      </w:r>
      <w:r w:rsidRPr="0014137C">
        <w:rPr>
          <w:lang w:val="en-GB"/>
        </w:rPr>
        <w:t xml:space="preserve"> shows the FTIR spectrum of pequi stone, which is characteristic of lignocellulosic biomass and highlights functional groups relevant to its thermochemical behavior. The broad band at 3400–3200 cm</w:t>
      </w:r>
      <w:r w:rsidRPr="0014137C">
        <w:rPr>
          <w:rFonts w:ascii="Cambria Math" w:hAnsi="Cambria Math" w:cs="Cambria Math"/>
          <w:lang w:val="en-GB"/>
        </w:rPr>
        <w:t>⁻</w:t>
      </w:r>
      <w:r w:rsidRPr="0014137C">
        <w:rPr>
          <w:lang w:val="en-GB"/>
        </w:rPr>
        <w:t>¹ is attributed to O–H stretching of hydroxyl groups from cellulose, hemicellulose, lignin, and residual moisture, indicating a polar and reactive matrix. The intense absorptions in the 2920–2850 cm</w:t>
      </w:r>
      <w:r w:rsidRPr="0014137C">
        <w:rPr>
          <w:rFonts w:ascii="Cambria Math" w:hAnsi="Cambria Math" w:cs="Cambria Math"/>
          <w:lang w:val="en-GB"/>
        </w:rPr>
        <w:t>⁻</w:t>
      </w:r>
      <w:r w:rsidRPr="0014137C">
        <w:rPr>
          <w:lang w:val="en-GB"/>
        </w:rPr>
        <w:t>¹ region correspond to aliphatic C–H stretching vibrations, revealing a significant content of hydrogen-rich organic structures that act as primary hydrogen donors during supercritical water gasification.</w:t>
      </w:r>
      <w:r w:rsidR="00DF1EBF" w:rsidRPr="0014137C">
        <w:rPr>
          <w:lang w:val="en-GB"/>
        </w:rPr>
        <w:t xml:space="preserve"> </w:t>
      </w:r>
      <w:r w:rsidRPr="0014137C">
        <w:rPr>
          <w:lang w:val="en-GB"/>
        </w:rPr>
        <w:t>Bands observed between 1730–1650 cm</w:t>
      </w:r>
      <w:r w:rsidRPr="0014137C">
        <w:rPr>
          <w:rFonts w:ascii="Cambria Math" w:hAnsi="Cambria Math" w:cs="Cambria Math"/>
          <w:lang w:val="en-GB"/>
        </w:rPr>
        <w:t>⁻</w:t>
      </w:r>
      <w:r w:rsidRPr="0014137C">
        <w:rPr>
          <w:lang w:val="en-GB"/>
        </w:rPr>
        <w:t>¹ are associated with C=O stretching of carbonyl and carboxyl groups, while signals in the 1600–1500 cm</w:t>
      </w:r>
      <w:r w:rsidRPr="0014137C">
        <w:rPr>
          <w:rFonts w:ascii="Cambria Math" w:hAnsi="Cambria Math" w:cs="Cambria Math"/>
          <w:lang w:val="en-GB"/>
        </w:rPr>
        <w:t>⁻</w:t>
      </w:r>
      <w:r w:rsidRPr="0014137C">
        <w:rPr>
          <w:lang w:val="en-GB"/>
        </w:rPr>
        <w:t>¹ range correspond to aromatic skeletal vibrations of lignin. Additionally, strong absorptions in the 1200–1000 cm</w:t>
      </w:r>
      <w:r w:rsidRPr="0014137C">
        <w:rPr>
          <w:rFonts w:ascii="Cambria Math" w:hAnsi="Cambria Math" w:cs="Cambria Math"/>
          <w:lang w:val="en-GB"/>
        </w:rPr>
        <w:t>⁻</w:t>
      </w:r>
      <w:r w:rsidRPr="0014137C">
        <w:rPr>
          <w:lang w:val="en-GB"/>
        </w:rPr>
        <w:t>¹ region, attributed to C–O and C–O–C bonds of polysaccharides, indicate a chemically labile structure prone to rapid depolymerization under supercritical conditions.</w:t>
      </w:r>
      <w:r w:rsidR="004B3161" w:rsidRPr="0014137C">
        <w:t xml:space="preserve"> </w:t>
      </w:r>
      <w:r w:rsidR="004B3161" w:rsidRPr="0014137C">
        <w:rPr>
          <w:lang w:val="en-GB"/>
        </w:rPr>
        <w:t>Overall, the spectrum indicates abundant hydroxyl, carbonyl/carboxyl, and ether linkages typical of lignocellulosic matrices, which are thermochemically labile under supercritical conditions and consistent with reforming- and shift-favourable feeds.</w:t>
      </w:r>
    </w:p>
    <w:p w14:paraId="17108917" w14:textId="70947EC8" w:rsidR="00E17587" w:rsidRPr="0014137C" w:rsidRDefault="00717EEA" w:rsidP="00600535">
      <w:pPr>
        <w:pStyle w:val="CETBodytext"/>
        <w:rPr>
          <w:lang w:val="en-GB"/>
        </w:rPr>
      </w:pPr>
      <w:r w:rsidRPr="0014137C">
        <w:rPr>
          <w:noProof/>
          <w:lang w:val="pt-BR" w:eastAsia="pt-BR"/>
        </w:rPr>
        <w:drawing>
          <wp:inline distT="0" distB="0" distL="0" distR="0" wp14:anchorId="0BD0AADB" wp14:editId="76C81D00">
            <wp:extent cx="2631882" cy="1637174"/>
            <wp:effectExtent l="0" t="0" r="0" b="1270"/>
            <wp:docPr id="1334418536" name="Imagem 2"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18536" name="Imagem 2" descr="Uma imagem contendo Diagrama&#10;&#10;O conteúdo gerado por IA pode estar incorreto."/>
                    <pic:cNvPicPr/>
                  </pic:nvPicPr>
                  <pic:blipFill>
                    <a:blip r:embed="rId12"/>
                    <a:stretch>
                      <a:fillRect/>
                    </a:stretch>
                  </pic:blipFill>
                  <pic:spPr>
                    <a:xfrm>
                      <a:off x="0" y="0"/>
                      <a:ext cx="2901229" cy="1804723"/>
                    </a:xfrm>
                    <a:prstGeom prst="rect">
                      <a:avLst/>
                    </a:prstGeom>
                  </pic:spPr>
                </pic:pic>
              </a:graphicData>
            </a:graphic>
          </wp:inline>
        </w:drawing>
      </w:r>
    </w:p>
    <w:p w14:paraId="24AAE29B" w14:textId="60E04390" w:rsidR="003575FE" w:rsidRPr="0014137C" w:rsidRDefault="003575FE" w:rsidP="00600535">
      <w:pPr>
        <w:pStyle w:val="CETBodytext"/>
        <w:rPr>
          <w:i/>
          <w:iCs/>
          <w:lang w:val="en-GB"/>
        </w:rPr>
      </w:pPr>
      <w:r w:rsidRPr="0014137C">
        <w:rPr>
          <w:i/>
          <w:iCs/>
          <w:lang w:val="en-GB"/>
        </w:rPr>
        <w:t xml:space="preserve">Figure 2. </w:t>
      </w:r>
      <w:r w:rsidRPr="0014137C">
        <w:rPr>
          <w:i/>
          <w:iCs/>
        </w:rPr>
        <w:t xml:space="preserve">FTIR spectrum of </w:t>
      </w:r>
      <w:r w:rsidRPr="0014137C">
        <w:rPr>
          <w:rStyle w:val="nfase"/>
        </w:rPr>
        <w:t>Caryocar brasiliense</w:t>
      </w:r>
      <w:r w:rsidRPr="0014137C">
        <w:rPr>
          <w:i/>
          <w:iCs/>
        </w:rPr>
        <w:t xml:space="preserve"> (pequi) stone.</w:t>
      </w:r>
    </w:p>
    <w:p w14:paraId="7382C781" w14:textId="119520BD" w:rsidR="00600535" w:rsidRPr="0014137C" w:rsidRDefault="00AE4CE9" w:rsidP="008156B1">
      <w:pPr>
        <w:pStyle w:val="CETheadingx"/>
      </w:pPr>
      <w:r w:rsidRPr="0014137C">
        <w:t>Thermodynamic modelling</w:t>
      </w:r>
    </w:p>
    <w:p w14:paraId="619C65FE" w14:textId="2CF273D2" w:rsidR="00810061" w:rsidRPr="0014137C" w:rsidRDefault="00810061" w:rsidP="00810061">
      <w:pPr>
        <w:pStyle w:val="CETBodytext"/>
        <w:rPr>
          <w:lang w:val="en-GB"/>
        </w:rPr>
      </w:pPr>
      <w:r w:rsidRPr="0014137C">
        <w:rPr>
          <w:lang w:val="en-GB"/>
        </w:rPr>
        <w:t>Figure 3 presents the thermodynamic evaluation of hydrogen production from pequi stone via supercritical water gasification (SCWG), comparing Gibbs</w:t>
      </w:r>
      <w:r w:rsidR="0026494B" w:rsidRPr="0014137C">
        <w:rPr>
          <w:lang w:val="en-GB"/>
        </w:rPr>
        <w:t xml:space="preserve"> </w:t>
      </w:r>
      <w:r w:rsidRPr="0014137C">
        <w:rPr>
          <w:lang w:val="en-GB"/>
        </w:rPr>
        <w:t>energy minimization (MinG) and entropy maximization (MaxS) approaches. In both formulations, the H</w:t>
      </w:r>
      <w:r w:rsidRPr="0014137C">
        <w:rPr>
          <w:rFonts w:ascii="Cambria Math" w:hAnsi="Cambria Math" w:cs="Cambria Math"/>
          <w:lang w:val="en-GB"/>
        </w:rPr>
        <w:t>₂</w:t>
      </w:r>
      <w:r w:rsidRPr="0014137C">
        <w:rPr>
          <w:lang w:val="en-GB"/>
        </w:rPr>
        <w:t xml:space="preserve"> molar fraction increases monotonically with temperature, indicating the thermodynamic </w:t>
      </w:r>
      <w:r w:rsidR="009D766A" w:rsidRPr="0014137C">
        <w:rPr>
          <w:lang w:val="en-GB"/>
        </w:rPr>
        <w:t>favourability</w:t>
      </w:r>
      <w:r w:rsidRPr="0014137C">
        <w:rPr>
          <w:lang w:val="en-GB"/>
        </w:rPr>
        <w:t xml:space="preserve"> of endothermic reactions typical of SCWG, such as steam reforming and the water–</w:t>
      </w:r>
      <w:r w:rsidRPr="0014137C">
        <w:rPr>
          <w:lang w:val="en-GB"/>
        </w:rPr>
        <w:lastRenderedPageBreak/>
        <w:t>gas shift reaction.</w:t>
      </w:r>
      <w:r w:rsidR="00DF1EBF" w:rsidRPr="0014137C">
        <w:rPr>
          <w:lang w:val="en-GB"/>
        </w:rPr>
        <w:t xml:space="preserve"> </w:t>
      </w:r>
      <w:r w:rsidRPr="0014137C">
        <w:rPr>
          <w:lang w:val="en-GB"/>
        </w:rPr>
        <w:t>Biomass concentration exerts a strong influence on hydrogen yield. Lower loadings (3–5 wt%) result in higher H</w:t>
      </w:r>
      <w:r w:rsidRPr="0014137C">
        <w:rPr>
          <w:rFonts w:ascii="Cambria Math" w:hAnsi="Cambria Math" w:cs="Cambria Math"/>
          <w:lang w:val="en-GB"/>
        </w:rPr>
        <w:t>₂</w:t>
      </w:r>
      <w:r w:rsidRPr="0014137C">
        <w:rPr>
          <w:lang w:val="en-GB"/>
        </w:rPr>
        <w:t xml:space="preserve"> molar fractions, whereas increasing the concentration to 10–15 wt% leads to a significant decrease in hydrogen production due to competition for water as a reforming agent and the enhanced formation of CO, CO</w:t>
      </w:r>
      <w:r w:rsidRPr="0014137C">
        <w:rPr>
          <w:rFonts w:ascii="Cambria Math" w:hAnsi="Cambria Math" w:cs="Cambria Math"/>
          <w:lang w:val="en-GB"/>
        </w:rPr>
        <w:t>₂</w:t>
      </w:r>
      <w:r w:rsidRPr="0014137C">
        <w:rPr>
          <w:lang w:val="en-GB"/>
        </w:rPr>
        <w:t>, and CH</w:t>
      </w:r>
      <w:r w:rsidRPr="0014137C">
        <w:rPr>
          <w:rFonts w:ascii="Cambria Math" w:hAnsi="Cambria Math" w:cs="Cambria Math"/>
          <w:lang w:val="en-GB"/>
        </w:rPr>
        <w:t>₄</w:t>
      </w:r>
      <w:r w:rsidRPr="0014137C">
        <w:rPr>
          <w:lang w:val="en-GB"/>
        </w:rPr>
        <w:t>. Systematically, the MaxS approach predicts higher hydrogen fractions than MinG, particularly at elevated temperatures,</w:t>
      </w:r>
      <w:r w:rsidR="004B3161" w:rsidRPr="0014137C">
        <w:rPr>
          <w:lang w:val="en-GB"/>
        </w:rPr>
        <w:t xml:space="preserve"> indicating that adiabatic constraints can shift the equilibrium toward higher H</w:t>
      </w:r>
      <w:r w:rsidR="004B3161" w:rsidRPr="0014137C">
        <w:rPr>
          <w:rFonts w:ascii="Cambria Math" w:hAnsi="Cambria Math" w:cs="Cambria Math"/>
          <w:lang w:val="en-GB"/>
        </w:rPr>
        <w:t>₂</w:t>
      </w:r>
      <w:r w:rsidR="004B3161" w:rsidRPr="0014137C">
        <w:rPr>
          <w:lang w:val="en-GB"/>
        </w:rPr>
        <w:t xml:space="preserve"> fractions, providing an idealized benchmark (upper bound) for thermally coupled SCWG operation</w:t>
      </w:r>
      <w:r w:rsidRPr="0014137C">
        <w:rPr>
          <w:lang w:val="en-GB"/>
        </w:rPr>
        <w:t>.</w:t>
      </w:r>
    </w:p>
    <w:p w14:paraId="033BF5CD" w14:textId="050135A1" w:rsidR="000438EB" w:rsidRPr="0014137C" w:rsidRDefault="000438EB" w:rsidP="000438EB">
      <w:pPr>
        <w:pStyle w:val="CETBodytext"/>
        <w:rPr>
          <w:lang w:val="en-GB"/>
        </w:rPr>
      </w:pPr>
      <w:r w:rsidRPr="0014137C">
        <w:rPr>
          <w:lang w:val="en-GB"/>
        </w:rPr>
        <w:t>Spearman analyses (Figures 3c–d) indicate that hydrogen-rich equilibria are strongly driven by temperature and by the suppression of methane (methanation pathways), consistent with reforming- and shift-controlled chemistry, while pressure shows a comparatively minor influence within the investigated range (25–35 MPa). Under the MinG formulation, hydrogen exhibits strong positive correlation with CO and negative correlations with CH</w:t>
      </w:r>
      <w:r w:rsidRPr="0014137C">
        <w:rPr>
          <w:rFonts w:ascii="Cambria Math" w:hAnsi="Cambria Math" w:cs="Cambria Math"/>
          <w:lang w:val="en-GB"/>
        </w:rPr>
        <w:t>₄</w:t>
      </w:r>
      <w:r w:rsidRPr="0014137C">
        <w:rPr>
          <w:lang w:val="en-GB"/>
        </w:rPr>
        <w:t xml:space="preserve"> and CO</w:t>
      </w:r>
      <w:r w:rsidRPr="0014137C">
        <w:rPr>
          <w:rFonts w:ascii="Cambria Math" w:hAnsi="Cambria Math" w:cs="Cambria Math"/>
          <w:lang w:val="en-GB"/>
        </w:rPr>
        <w:t>₂</w:t>
      </w:r>
      <w:r w:rsidRPr="0014137C">
        <w:rPr>
          <w:lang w:val="en-GB"/>
        </w:rPr>
        <w:t>, reflecting the dominance of reforming reactions under isothermal conditions. In contrast, the MaxS formulation reveals a strong association between hydrogen and equilibrium temperature, highlighting thermo-chemical coupling under adiabatic operation.</w:t>
      </w:r>
    </w:p>
    <w:p w14:paraId="7EB99D04" w14:textId="2E516E4C" w:rsidR="001F14DF" w:rsidRPr="0014137C" w:rsidRDefault="000438EB" w:rsidP="000438EB">
      <w:pPr>
        <w:pStyle w:val="CETBodytext"/>
        <w:rPr>
          <w:lang w:val="en-GB"/>
        </w:rPr>
      </w:pPr>
      <w:r w:rsidRPr="0014137C">
        <w:rPr>
          <w:lang w:val="en-GB"/>
        </w:rPr>
        <w:t>FTIR results corroborate these trends, evidencing a chemically labile, oxygenated, and hydrogen-rich matrix that explains the high hydrogen yields predicted by both formulations, particularly under MaxS conditions. Overall, hydrogen production is maximized at high temperatures and low biomass loadings. Additionally, equilibrium calculations indicate negligible char formation (&lt;10</w:t>
      </w:r>
      <w:r w:rsidRPr="0014137C">
        <w:rPr>
          <w:rFonts w:ascii="Cambria Math" w:hAnsi="Cambria Math" w:cs="Cambria Math"/>
          <w:lang w:val="en-GB"/>
        </w:rPr>
        <w:t>⁻</w:t>
      </w:r>
      <w:r w:rsidRPr="0014137C">
        <w:rPr>
          <w:lang w:val="en-GB"/>
        </w:rPr>
        <w:t>⁵ mol), confirming gas-phase predominance, and no H</w:t>
      </w:r>
      <w:r w:rsidRPr="0014137C">
        <w:rPr>
          <w:rFonts w:ascii="Cambria Math" w:hAnsi="Cambria Math" w:cs="Cambria Math"/>
          <w:lang w:val="en-GB"/>
        </w:rPr>
        <w:t>₂</w:t>
      </w:r>
      <w:r w:rsidRPr="0014137C">
        <w:rPr>
          <w:lang w:val="en-GB"/>
        </w:rPr>
        <w:t>S formation was predicted under the evaluated conditions.</w:t>
      </w:r>
    </w:p>
    <w:tbl>
      <w:tblPr>
        <w:tblStyle w:val="Tabelacomgrade"/>
        <w:tblW w:w="8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0"/>
        <w:gridCol w:w="4597"/>
      </w:tblGrid>
      <w:tr w:rsidR="001F14DF" w:rsidRPr="0014137C" w14:paraId="56163169" w14:textId="77777777" w:rsidTr="006E2412">
        <w:tc>
          <w:tcPr>
            <w:tcW w:w="4035" w:type="dxa"/>
            <w:vAlign w:val="center"/>
          </w:tcPr>
          <w:p w14:paraId="5B9D9188" w14:textId="37DEAE48" w:rsidR="00DE778F" w:rsidRPr="0014137C" w:rsidRDefault="00DE778F" w:rsidP="00C65085">
            <w:pPr>
              <w:pStyle w:val="CETBodytext"/>
              <w:jc w:val="center"/>
              <w:rPr>
                <w:lang w:val="en-GB"/>
              </w:rPr>
            </w:pPr>
            <w:r w:rsidRPr="0014137C">
              <w:rPr>
                <w:noProof/>
                <w:lang w:val="pt-BR" w:eastAsia="pt-BR"/>
              </w:rPr>
              <w:drawing>
                <wp:inline distT="0" distB="0" distL="0" distR="0" wp14:anchorId="74D0E05C" wp14:editId="2B9D204D">
                  <wp:extent cx="2552298" cy="1800000"/>
                  <wp:effectExtent l="0" t="0" r="635" b="3810"/>
                  <wp:docPr id="1403693168" name="Imagem 1" descr="Gráfico, Gráfico de lin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93168" name="Imagem 1" descr="Gráfico, Gráfico de linhas&#10;&#10;O conteúdo gerado por IA pode estar incorreto."/>
                          <pic:cNvPicPr/>
                        </pic:nvPicPr>
                        <pic:blipFill>
                          <a:blip r:embed="rId13"/>
                          <a:stretch>
                            <a:fillRect/>
                          </a:stretch>
                        </pic:blipFill>
                        <pic:spPr>
                          <a:xfrm>
                            <a:off x="0" y="0"/>
                            <a:ext cx="2552298" cy="1800000"/>
                          </a:xfrm>
                          <a:prstGeom prst="rect">
                            <a:avLst/>
                          </a:prstGeom>
                        </pic:spPr>
                      </pic:pic>
                    </a:graphicData>
                  </a:graphic>
                </wp:inline>
              </w:drawing>
            </w:r>
          </w:p>
        </w:tc>
        <w:tc>
          <w:tcPr>
            <w:tcW w:w="4186" w:type="dxa"/>
            <w:vAlign w:val="center"/>
          </w:tcPr>
          <w:p w14:paraId="46E4E446" w14:textId="5304D791" w:rsidR="00DE778F" w:rsidRPr="0014137C" w:rsidRDefault="00DE778F" w:rsidP="00C65085">
            <w:pPr>
              <w:pStyle w:val="CETBodytext"/>
              <w:jc w:val="center"/>
              <w:rPr>
                <w:lang w:val="en-GB"/>
              </w:rPr>
            </w:pPr>
            <w:r w:rsidRPr="0014137C">
              <w:rPr>
                <w:noProof/>
                <w:lang w:val="pt-BR" w:eastAsia="pt-BR"/>
              </w:rPr>
              <w:drawing>
                <wp:inline distT="0" distB="0" distL="0" distR="0" wp14:anchorId="7BCEBA60" wp14:editId="3E03712C">
                  <wp:extent cx="2521591" cy="1800000"/>
                  <wp:effectExtent l="0" t="0" r="5715" b="3810"/>
                  <wp:docPr id="713781985" name="Imagem 2" descr="Gráfico, Gráfico de barr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81985" name="Imagem 2" descr="Gráfico, Gráfico de barras&#10;&#10;O conteúdo gerado por IA pode estar incorreto."/>
                          <pic:cNvPicPr/>
                        </pic:nvPicPr>
                        <pic:blipFill>
                          <a:blip r:embed="rId14"/>
                          <a:stretch>
                            <a:fillRect/>
                          </a:stretch>
                        </pic:blipFill>
                        <pic:spPr>
                          <a:xfrm>
                            <a:off x="0" y="0"/>
                            <a:ext cx="2521591" cy="1800000"/>
                          </a:xfrm>
                          <a:prstGeom prst="rect">
                            <a:avLst/>
                          </a:prstGeom>
                        </pic:spPr>
                      </pic:pic>
                    </a:graphicData>
                  </a:graphic>
                </wp:inline>
              </w:drawing>
            </w:r>
          </w:p>
        </w:tc>
      </w:tr>
      <w:tr w:rsidR="001F14DF" w:rsidRPr="0014137C" w14:paraId="4ABAAC93" w14:textId="77777777" w:rsidTr="006E2412">
        <w:tc>
          <w:tcPr>
            <w:tcW w:w="4035" w:type="dxa"/>
            <w:vAlign w:val="center"/>
          </w:tcPr>
          <w:p w14:paraId="2C727D23" w14:textId="4BA1A50A" w:rsidR="001F14DF" w:rsidRPr="0014137C" w:rsidRDefault="001F14DF" w:rsidP="00C65085">
            <w:pPr>
              <w:pStyle w:val="CETBodytext"/>
              <w:jc w:val="center"/>
              <w:rPr>
                <w:lang w:val="en-GB"/>
              </w:rPr>
            </w:pPr>
            <w:r w:rsidRPr="0014137C">
              <w:rPr>
                <w:noProof/>
                <w:lang w:val="pt-BR" w:eastAsia="pt-BR"/>
              </w:rPr>
              <w:drawing>
                <wp:inline distT="0" distB="0" distL="0" distR="0" wp14:anchorId="7C76C637" wp14:editId="557BCB12">
                  <wp:extent cx="2660956" cy="2052000"/>
                  <wp:effectExtent l="0" t="0" r="0" b="5715"/>
                  <wp:docPr id="1646569682" name="Imagem 3" descr="Interface gráfica do usuári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69682" name="Imagem 3" descr="Interface gráfica do usuário, Aplicativo&#10;&#10;O conteúdo gerado por IA pode estar incorreto."/>
                          <pic:cNvPicPr/>
                        </pic:nvPicPr>
                        <pic:blipFill>
                          <a:blip r:embed="rId15"/>
                          <a:stretch>
                            <a:fillRect/>
                          </a:stretch>
                        </pic:blipFill>
                        <pic:spPr>
                          <a:xfrm>
                            <a:off x="0" y="0"/>
                            <a:ext cx="2660956" cy="2052000"/>
                          </a:xfrm>
                          <a:prstGeom prst="rect">
                            <a:avLst/>
                          </a:prstGeom>
                        </pic:spPr>
                      </pic:pic>
                    </a:graphicData>
                  </a:graphic>
                </wp:inline>
              </w:drawing>
            </w:r>
            <w:r w:rsidR="00DF0B22" w:rsidRPr="0014137C">
              <w:rPr>
                <w:b/>
                <w:bCs/>
                <w:sz w:val="15"/>
                <w:szCs w:val="16"/>
                <w:lang w:val="en-GB"/>
              </w:rPr>
              <w:t>(c)</w:t>
            </w:r>
          </w:p>
        </w:tc>
        <w:tc>
          <w:tcPr>
            <w:tcW w:w="4186" w:type="dxa"/>
            <w:vAlign w:val="center"/>
          </w:tcPr>
          <w:p w14:paraId="3F376216" w14:textId="09A20F95" w:rsidR="00DE778F" w:rsidRPr="0014137C" w:rsidRDefault="001F14DF" w:rsidP="00C65085">
            <w:pPr>
              <w:pStyle w:val="CETBodytext"/>
              <w:jc w:val="center"/>
              <w:rPr>
                <w:lang w:val="en-GB"/>
              </w:rPr>
            </w:pPr>
            <w:r w:rsidRPr="0014137C">
              <w:rPr>
                <w:noProof/>
                <w:lang w:val="pt-BR" w:eastAsia="pt-BR"/>
              </w:rPr>
              <w:drawing>
                <wp:inline distT="0" distB="0" distL="0" distR="0" wp14:anchorId="3C778F1C" wp14:editId="79D00F53">
                  <wp:extent cx="2929906" cy="2052000"/>
                  <wp:effectExtent l="0" t="0" r="3810" b="5715"/>
                  <wp:docPr id="483959383" name="Imagem 5" descr="Gráfico, Gráfico de mapa de árvor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59383" name="Imagem 5" descr="Gráfico, Gráfico de mapa de árvore&#10;&#10;O conteúdo gerado por IA pode estar incorreto."/>
                          <pic:cNvPicPr/>
                        </pic:nvPicPr>
                        <pic:blipFill>
                          <a:blip r:embed="rId16"/>
                          <a:stretch>
                            <a:fillRect/>
                          </a:stretch>
                        </pic:blipFill>
                        <pic:spPr>
                          <a:xfrm>
                            <a:off x="0" y="0"/>
                            <a:ext cx="2929906" cy="2052000"/>
                          </a:xfrm>
                          <a:prstGeom prst="rect">
                            <a:avLst/>
                          </a:prstGeom>
                        </pic:spPr>
                      </pic:pic>
                    </a:graphicData>
                  </a:graphic>
                </wp:inline>
              </w:drawing>
            </w:r>
            <w:r w:rsidR="00DF0B22" w:rsidRPr="0014137C">
              <w:rPr>
                <w:b/>
                <w:bCs/>
                <w:sz w:val="15"/>
                <w:szCs w:val="16"/>
                <w:lang w:val="en-GB"/>
              </w:rPr>
              <w:t>(d)</w:t>
            </w:r>
          </w:p>
        </w:tc>
      </w:tr>
    </w:tbl>
    <w:p w14:paraId="2371831F" w14:textId="222A1731" w:rsidR="003575FE" w:rsidRPr="0014137C" w:rsidRDefault="003575FE" w:rsidP="003575FE">
      <w:pPr>
        <w:pStyle w:val="CETHeading1"/>
        <w:numPr>
          <w:ilvl w:val="0"/>
          <w:numId w:val="0"/>
        </w:numPr>
        <w:jc w:val="both"/>
        <w:rPr>
          <w:b w:val="0"/>
          <w:bCs/>
          <w:i/>
          <w:iCs/>
          <w:sz w:val="18"/>
          <w:szCs w:val="18"/>
          <w:lang w:val="en-GB"/>
        </w:rPr>
      </w:pPr>
      <w:r w:rsidRPr="0014137C">
        <w:rPr>
          <w:b w:val="0"/>
          <w:bCs/>
          <w:i/>
          <w:iCs/>
          <w:sz w:val="18"/>
          <w:szCs w:val="18"/>
          <w:lang w:val="en-GB"/>
        </w:rPr>
        <w:t>Figure 3. Thermodynamic evaluation of hydrogen production from pequi stone via supercritical water gasification. (a) Effect of temperature on hydrogen molar fraction under MinG (isothermal) and MaxS (adiabatic) conditions. (b) Influence of biomass concentration on hydrogen molar fraction. (c) Spearman correlation matrix for the MinG formulation. (d) Spearman correlation matrix for the MaxS formulation.</w:t>
      </w:r>
    </w:p>
    <w:p w14:paraId="14A79194" w14:textId="54001D51" w:rsidR="003575FE" w:rsidRPr="0014137C" w:rsidRDefault="00600535" w:rsidP="003575FE">
      <w:pPr>
        <w:pStyle w:val="CETHeading1"/>
        <w:numPr>
          <w:ilvl w:val="0"/>
          <w:numId w:val="25"/>
        </w:numPr>
        <w:ind w:left="357" w:hanging="357"/>
        <w:rPr>
          <w:lang w:val="en-GB"/>
        </w:rPr>
      </w:pPr>
      <w:r w:rsidRPr="0014137C">
        <w:rPr>
          <w:lang w:val="en-GB"/>
        </w:rPr>
        <w:t>Conclusions</w:t>
      </w:r>
    </w:p>
    <w:p w14:paraId="5600AE26" w14:textId="04E3B63D" w:rsidR="00905E59" w:rsidRPr="0014137C" w:rsidRDefault="00905E59" w:rsidP="00905E59">
      <w:pPr>
        <w:pStyle w:val="CETHeadingxx"/>
        <w:jc w:val="both"/>
        <w:rPr>
          <w:b w:val="0"/>
          <w:lang w:val="en-GB"/>
        </w:rPr>
      </w:pPr>
      <w:r w:rsidRPr="0014137C">
        <w:rPr>
          <w:b w:val="0"/>
          <w:i/>
          <w:iCs/>
          <w:lang w:val="en-GB"/>
        </w:rPr>
        <w:t xml:space="preserve">Caryocar brasiliense </w:t>
      </w:r>
      <w:r w:rsidRPr="0014137C">
        <w:rPr>
          <w:b w:val="0"/>
          <w:lang w:val="en-GB"/>
        </w:rPr>
        <w:t>(pequi) stone showed significant potential as a feedstock for hydrogen production via SCWG. Its low moisture and ash contents, high volatile matter, and favourable elemental composition indicate good suitability for thermochemical conversion with reduced pretreatment demand. FTIR results also confirmed the presence of chemically labile oxygenated and hydrogen-rich functional groups, consistent with its reactivity under supercritical water. Thermodynamic simulations indicated that hydrogen-rich gas production is favoured at high temperatures and low biomass loadings, with H</w:t>
      </w:r>
      <w:r w:rsidRPr="0014137C">
        <w:rPr>
          <w:rFonts w:ascii="Cambria Math" w:hAnsi="Cambria Math" w:cs="Cambria Math"/>
          <w:b w:val="0"/>
          <w:lang w:val="en-GB"/>
        </w:rPr>
        <w:t>₂</w:t>
      </w:r>
      <w:r w:rsidRPr="0014137C">
        <w:rPr>
          <w:b w:val="0"/>
          <w:lang w:val="en-GB"/>
        </w:rPr>
        <w:t xml:space="preserve"> molar fractions above 50% predicted at 25 MPa, </w:t>
      </w:r>
      <w:r w:rsidRPr="0014137C">
        <w:rPr>
          <w:b w:val="0"/>
          <w:lang w:val="en-GB"/>
        </w:rPr>
        <w:lastRenderedPageBreak/>
        <w:t>temperatures above 923.15 K, and biomass concentrations below 10 wt%. Higher biomass loadings decreased H</w:t>
      </w:r>
      <w:r w:rsidRPr="0014137C">
        <w:rPr>
          <w:b w:val="0"/>
          <w:vertAlign w:val="subscript"/>
          <w:lang w:val="en-GB"/>
        </w:rPr>
        <w:t>2</w:t>
      </w:r>
      <w:r w:rsidRPr="0014137C">
        <w:rPr>
          <w:b w:val="0"/>
          <w:lang w:val="en-GB"/>
        </w:rPr>
        <w:t xml:space="preserve"> selectivity due to increased formation of CO, CO</w:t>
      </w:r>
      <w:r w:rsidRPr="0014137C">
        <w:rPr>
          <w:rFonts w:ascii="Cambria Math" w:hAnsi="Cambria Math" w:cs="Cambria Math"/>
          <w:b w:val="0"/>
          <w:lang w:val="en-GB"/>
        </w:rPr>
        <w:t>₂</w:t>
      </w:r>
      <w:r w:rsidRPr="0014137C">
        <w:rPr>
          <w:b w:val="0"/>
          <w:lang w:val="en-GB"/>
        </w:rPr>
        <w:t>, and CH</w:t>
      </w:r>
      <w:r w:rsidRPr="0014137C">
        <w:rPr>
          <w:rFonts w:ascii="Cambria Math" w:hAnsi="Cambria Math" w:cs="Cambria Math"/>
          <w:b w:val="0"/>
          <w:lang w:val="en-GB"/>
        </w:rPr>
        <w:t>₄</w:t>
      </w:r>
      <w:r w:rsidRPr="0014137C">
        <w:rPr>
          <w:b w:val="0"/>
          <w:lang w:val="en-GB"/>
        </w:rPr>
        <w:t>. In addition, the MaxS approach predicted systematically higher H</w:t>
      </w:r>
      <w:r w:rsidRPr="0014137C">
        <w:rPr>
          <w:rFonts w:ascii="Cambria Math" w:hAnsi="Cambria Math" w:cs="Cambria Math"/>
          <w:b w:val="0"/>
          <w:lang w:val="en-GB"/>
        </w:rPr>
        <w:t>₂</w:t>
      </w:r>
      <w:r w:rsidRPr="0014137C">
        <w:rPr>
          <w:b w:val="0"/>
          <w:lang w:val="en-GB"/>
        </w:rPr>
        <w:t xml:space="preserve"> fractions than MinG, emphasizing the importance of adiabatic effects. Overall, pequi stone emerges as a promising residue for renewable hydrogen production and deserves further experimental validation and process optimization.</w:t>
      </w:r>
    </w:p>
    <w:p w14:paraId="07A6D20F" w14:textId="45C29CA8" w:rsidR="00280FAF" w:rsidRPr="0014137C" w:rsidRDefault="00280FAF" w:rsidP="00905E59">
      <w:pPr>
        <w:pStyle w:val="CETHeadingxx"/>
        <w:rPr>
          <w:b w:val="0"/>
          <w:i/>
          <w:iCs/>
          <w:lang w:val="en-GB"/>
        </w:rPr>
        <w:sectPr w:rsidR="00280FAF" w:rsidRPr="0014137C" w:rsidSect="008314D7">
          <w:type w:val="continuous"/>
          <w:pgSz w:w="11906" w:h="16838" w:code="9"/>
          <w:pgMar w:top="1701" w:right="1418" w:bottom="1701" w:left="1701" w:header="1701" w:footer="0" w:gutter="0"/>
          <w:cols w:space="708"/>
          <w:formProt w:val="0"/>
          <w:titlePg/>
          <w:docGrid w:linePitch="360"/>
        </w:sectPr>
      </w:pPr>
      <w:r w:rsidRPr="0014137C">
        <w:t>Nomenclature</w:t>
      </w:r>
    </w:p>
    <w:p w14:paraId="6E81EF65" w14:textId="2FC0F596" w:rsidR="00407D50" w:rsidRPr="0014137C" w:rsidRDefault="00407D50" w:rsidP="00280FAF">
      <w:pPr>
        <w:pStyle w:val="CETBodytext"/>
        <w:jc w:val="left"/>
      </w:pPr>
      <w:r w:rsidRPr="0014137C">
        <w:lastRenderedPageBreak/>
        <w:t>SCWG – Supercritical water gasification</w:t>
      </w:r>
      <w:r w:rsidRPr="0014137C">
        <w:br/>
        <w:t>FTIR – Fourier-transform infrared spectroscopy</w:t>
      </w:r>
      <w:r w:rsidRPr="0014137C">
        <w:br/>
        <w:t>MinG – Gibbs energy minimization</w:t>
      </w:r>
      <w:r w:rsidRPr="0014137C">
        <w:br/>
        <w:t>MaxS – Entropy maximization</w:t>
      </w:r>
      <w:r w:rsidRPr="0014137C">
        <w:br/>
        <w:t>NLP – Nonlinear programming</w:t>
      </w:r>
    </w:p>
    <w:p w14:paraId="38BFE636" w14:textId="6F68717A" w:rsidR="00280FAF" w:rsidRPr="0014137C" w:rsidRDefault="00407D50" w:rsidP="00280FAF">
      <w:pPr>
        <w:pStyle w:val="CETBodytext"/>
        <w:jc w:val="left"/>
        <w:rPr>
          <w:rFonts w:eastAsia="SimSun"/>
        </w:rPr>
        <w:sectPr w:rsidR="00280FAF" w:rsidRPr="0014137C" w:rsidSect="008314D7">
          <w:type w:val="continuous"/>
          <w:pgSz w:w="11906" w:h="16838" w:code="9"/>
          <w:pgMar w:top="1701" w:right="1418" w:bottom="1701" w:left="1701" w:header="1701" w:footer="0" w:gutter="0"/>
          <w:cols w:num="2" w:space="708"/>
          <w:formProt w:val="0"/>
          <w:titlePg/>
          <w:docGrid w:linePitch="360"/>
        </w:sectPr>
      </w:pPr>
      <w:r w:rsidRPr="0014137C">
        <w:rPr>
          <w:rFonts w:cs="Arial"/>
          <w:szCs w:val="18"/>
          <w:lang w:eastAsia="pt-BR"/>
        </w:rPr>
        <w:t>G</w:t>
      </w:r>
      <w:r w:rsidR="00F40B40">
        <w:rPr>
          <w:rFonts w:cs="Arial"/>
          <w:szCs w:val="18"/>
          <w:lang w:eastAsia="pt-BR"/>
        </w:rPr>
        <w:t xml:space="preserve"> </w:t>
      </w:r>
      <w:r w:rsidRPr="0014137C">
        <w:rPr>
          <w:rFonts w:cs="Arial"/>
          <w:szCs w:val="18"/>
          <w:lang w:eastAsia="pt-BR"/>
        </w:rPr>
        <w:t>– Total Gibbs energy of the system, J</w:t>
      </w:r>
      <w:r w:rsidRPr="0014137C">
        <w:rPr>
          <w:rFonts w:cs="Arial"/>
          <w:szCs w:val="18"/>
          <w:lang w:eastAsia="pt-BR"/>
        </w:rPr>
        <w:br/>
      </w:r>
      <m:oMath>
        <m:r>
          <w:rPr>
            <w:rFonts w:ascii="Cambria Math" w:hAnsi="Cambria Math" w:cs="Arial"/>
            <w:szCs w:val="18"/>
            <w:lang w:val="pt-BR" w:eastAsia="pt-BR"/>
          </w:rPr>
          <m:t>S</m:t>
        </m:r>
      </m:oMath>
      <w:r w:rsidR="00F40B40" w:rsidRPr="00F40B40">
        <w:rPr>
          <w:rFonts w:cs="Arial"/>
          <w:szCs w:val="18"/>
          <w:lang w:eastAsia="pt-BR"/>
        </w:rPr>
        <w:t xml:space="preserve"> </w:t>
      </w:r>
      <w:r w:rsidRPr="0014137C">
        <w:rPr>
          <w:rFonts w:cs="Arial"/>
          <w:szCs w:val="18"/>
          <w:lang w:eastAsia="pt-BR"/>
        </w:rPr>
        <w:t>– Total entropy of the system, J·K</w:t>
      </w:r>
      <w:r w:rsidRPr="0014137C">
        <w:rPr>
          <w:rFonts w:ascii="Cambria Math" w:hAnsi="Cambria Math" w:cs="Cambria Math"/>
          <w:szCs w:val="18"/>
          <w:lang w:eastAsia="pt-BR"/>
        </w:rPr>
        <w:t>⁻</w:t>
      </w:r>
      <w:r w:rsidRPr="0014137C">
        <w:rPr>
          <w:rFonts w:cs="Arial"/>
          <w:szCs w:val="18"/>
          <w:lang w:eastAsia="pt-BR"/>
        </w:rPr>
        <w:t>¹</w:t>
      </w:r>
      <w:r w:rsidRPr="0014137C">
        <w:rPr>
          <w:rFonts w:cs="Arial"/>
          <w:szCs w:val="18"/>
          <w:lang w:eastAsia="pt-BR"/>
        </w:rPr>
        <w:br/>
      </w:r>
      <m:oMath>
        <m:r>
          <w:rPr>
            <w:rFonts w:ascii="Cambria Math" w:hAnsi="Cambria Math" w:cs="Arial"/>
            <w:szCs w:val="18"/>
            <w:lang w:val="pt-BR" w:eastAsia="pt-BR"/>
          </w:rPr>
          <m:t>H</m:t>
        </m:r>
      </m:oMath>
      <w:r w:rsidR="00F40B40" w:rsidRPr="00F40B40">
        <w:rPr>
          <w:rFonts w:cs="Arial"/>
          <w:szCs w:val="18"/>
          <w:lang w:eastAsia="pt-BR"/>
        </w:rPr>
        <w:t xml:space="preserve"> </w:t>
      </w:r>
      <w:r w:rsidRPr="0014137C">
        <w:rPr>
          <w:rFonts w:cs="Arial"/>
          <w:szCs w:val="18"/>
          <w:lang w:eastAsia="pt-BR"/>
        </w:rPr>
        <w:t>– Total enthalpy of the system, J</w:t>
      </w:r>
      <w:r w:rsidRPr="0014137C">
        <w:rPr>
          <w:rFonts w:cs="Arial"/>
          <w:szCs w:val="18"/>
          <w:lang w:eastAsia="pt-BR"/>
        </w:rPr>
        <w:br/>
      </w:r>
      <m:oMath>
        <m:sSub>
          <m:sSubPr>
            <m:ctrlPr>
              <w:rPr>
                <w:rFonts w:ascii="Cambria Math" w:hAnsi="Cambria Math" w:cs="Arial"/>
                <w:szCs w:val="18"/>
                <w:lang w:val="pt-BR" w:eastAsia="pt-BR"/>
              </w:rPr>
            </m:ctrlPr>
          </m:sSubPr>
          <m:e>
            <m:r>
              <w:rPr>
                <w:rFonts w:ascii="Cambria Math" w:hAnsi="Cambria Math" w:cs="Arial"/>
                <w:szCs w:val="18"/>
                <w:lang w:val="pt-BR" w:eastAsia="pt-BR"/>
              </w:rPr>
              <m:t>n</m:t>
            </m:r>
          </m:e>
          <m:sub>
            <m:r>
              <w:rPr>
                <w:rFonts w:ascii="Cambria Math" w:hAnsi="Cambria Math" w:cs="Arial"/>
                <w:szCs w:val="18"/>
                <w:lang w:val="pt-BR" w:eastAsia="pt-BR"/>
              </w:rPr>
              <m:t>i</m:t>
            </m:r>
          </m:sub>
        </m:sSub>
      </m:oMath>
      <w:r w:rsidR="00F40B40" w:rsidRPr="00F40B40">
        <w:rPr>
          <w:rFonts w:cs="Arial"/>
          <w:szCs w:val="18"/>
          <w:lang w:eastAsia="pt-BR"/>
        </w:rPr>
        <w:t xml:space="preserve"> </w:t>
      </w:r>
      <w:r w:rsidRPr="0014137C">
        <w:rPr>
          <w:rFonts w:cs="Arial"/>
          <w:szCs w:val="18"/>
          <w:lang w:eastAsia="pt-BR"/>
        </w:rPr>
        <w:t xml:space="preserve">– Number of moles of component </w:t>
      </w:r>
      <w:r w:rsidRPr="0014137C">
        <w:rPr>
          <w:rFonts w:cs="Arial"/>
          <w:i/>
          <w:iCs/>
          <w:szCs w:val="18"/>
          <w:lang w:eastAsia="pt-BR"/>
        </w:rPr>
        <w:t>i</w:t>
      </w:r>
      <w:r w:rsidRPr="0014137C">
        <w:rPr>
          <w:rFonts w:cs="Arial"/>
          <w:szCs w:val="18"/>
          <w:lang w:eastAsia="pt-BR"/>
        </w:rPr>
        <w:t>, mol</w:t>
      </w:r>
      <w:r w:rsidRPr="0014137C">
        <w:rPr>
          <w:rFonts w:cs="Arial"/>
          <w:szCs w:val="18"/>
          <w:lang w:eastAsia="pt-BR"/>
        </w:rPr>
        <w:br/>
      </w:r>
      <m:oMath>
        <m:sSub>
          <m:sSubPr>
            <m:ctrlPr>
              <w:rPr>
                <w:rFonts w:ascii="Cambria Math" w:hAnsi="Cambria Math" w:cs="Arial"/>
                <w:szCs w:val="18"/>
                <w:lang w:val="pt-BR" w:eastAsia="pt-BR"/>
              </w:rPr>
            </m:ctrlPr>
          </m:sSubPr>
          <m:e>
            <m:r>
              <w:rPr>
                <w:rFonts w:ascii="Cambria Math" w:hAnsi="Cambria Math" w:cs="Arial"/>
                <w:szCs w:val="18"/>
                <w:lang w:val="pt-BR" w:eastAsia="pt-BR"/>
              </w:rPr>
              <m:t>x</m:t>
            </m:r>
          </m:e>
          <m:sub>
            <m:r>
              <w:rPr>
                <w:rFonts w:ascii="Cambria Math" w:hAnsi="Cambria Math" w:cs="Arial"/>
                <w:szCs w:val="18"/>
                <w:lang w:val="pt-BR" w:eastAsia="pt-BR"/>
              </w:rPr>
              <m:t>i</m:t>
            </m:r>
          </m:sub>
        </m:sSub>
      </m:oMath>
      <w:r w:rsidR="00F40B40" w:rsidRPr="00F40B40">
        <w:rPr>
          <w:rFonts w:cs="Arial"/>
          <w:szCs w:val="18"/>
          <w:lang w:eastAsia="pt-BR"/>
        </w:rPr>
        <w:t xml:space="preserve"> </w:t>
      </w:r>
      <w:r w:rsidRPr="0014137C">
        <w:rPr>
          <w:rFonts w:cs="Arial"/>
          <w:szCs w:val="18"/>
          <w:lang w:eastAsia="pt-BR"/>
        </w:rPr>
        <w:t xml:space="preserve">– Molar fraction of component </w:t>
      </w:r>
      <w:r w:rsidRPr="0014137C">
        <w:rPr>
          <w:rFonts w:cs="Arial"/>
          <w:i/>
          <w:iCs/>
          <w:szCs w:val="18"/>
          <w:lang w:eastAsia="pt-BR"/>
        </w:rPr>
        <w:t>i</w:t>
      </w:r>
      <w:r w:rsidRPr="0014137C">
        <w:rPr>
          <w:rFonts w:cs="Arial"/>
          <w:szCs w:val="18"/>
          <w:lang w:eastAsia="pt-BR"/>
        </w:rPr>
        <w:t xml:space="preserve">, </w:t>
      </w:r>
      <w:r w:rsidRPr="0014137C">
        <w:rPr>
          <w:rFonts w:cs="Arial"/>
          <w:szCs w:val="18"/>
          <w:lang w:eastAsia="pt-BR"/>
        </w:rPr>
        <w:br/>
      </w:r>
      <m:oMath>
        <m:r>
          <w:rPr>
            <w:rFonts w:ascii="Cambria Math" w:hAnsi="Cambria Math" w:cs="Arial"/>
            <w:szCs w:val="18"/>
            <w:lang w:val="pt-BR" w:eastAsia="pt-BR"/>
          </w:rPr>
          <w:lastRenderedPageBreak/>
          <m:t>T</m:t>
        </m:r>
      </m:oMath>
      <w:r w:rsidR="00F40B40" w:rsidRPr="00F40B40">
        <w:rPr>
          <w:rFonts w:cs="Arial"/>
          <w:szCs w:val="18"/>
          <w:lang w:eastAsia="pt-BR"/>
        </w:rPr>
        <w:t xml:space="preserve"> </w:t>
      </w:r>
      <w:r w:rsidRPr="0014137C">
        <w:rPr>
          <w:rFonts w:cs="Arial"/>
          <w:szCs w:val="18"/>
          <w:lang w:eastAsia="pt-BR"/>
        </w:rPr>
        <w:t>– Temperature, K</w:t>
      </w:r>
      <w:r w:rsidRPr="0014137C">
        <w:rPr>
          <w:rFonts w:cs="Arial"/>
          <w:szCs w:val="18"/>
          <w:lang w:eastAsia="pt-BR"/>
        </w:rPr>
        <w:br/>
      </w:r>
      <m:oMath>
        <m:r>
          <w:rPr>
            <w:rFonts w:ascii="Cambria Math" w:hAnsi="Cambria Math" w:cs="Arial"/>
            <w:szCs w:val="18"/>
            <w:lang w:val="pt-BR" w:eastAsia="pt-BR"/>
          </w:rPr>
          <m:t>P</m:t>
        </m:r>
      </m:oMath>
      <w:r w:rsidR="00F40B40" w:rsidRPr="00F40B40">
        <w:rPr>
          <w:rFonts w:cs="Arial"/>
          <w:szCs w:val="18"/>
          <w:lang w:eastAsia="pt-BR"/>
        </w:rPr>
        <w:t xml:space="preserve"> </w:t>
      </w:r>
      <w:r w:rsidRPr="0014137C">
        <w:rPr>
          <w:rFonts w:cs="Arial"/>
          <w:szCs w:val="18"/>
          <w:lang w:eastAsia="pt-BR"/>
        </w:rPr>
        <w:t>– Pressure, MPa</w:t>
      </w:r>
      <w:r w:rsidRPr="0014137C">
        <w:rPr>
          <w:rFonts w:cs="Arial"/>
          <w:szCs w:val="18"/>
          <w:lang w:eastAsia="pt-BR"/>
        </w:rPr>
        <w:br/>
      </w:r>
      <m:oMath>
        <m:r>
          <w:rPr>
            <w:rFonts w:ascii="Cambria Math" w:hAnsi="Cambria Math" w:cs="Arial"/>
            <w:szCs w:val="18"/>
            <w:lang w:eastAsia="pt-BR"/>
          </w:rPr>
          <m:t xml:space="preserve">wt% </m:t>
        </m:r>
      </m:oMath>
      <w:r w:rsidR="001D3615">
        <w:rPr>
          <w:rFonts w:cs="Arial"/>
          <w:szCs w:val="18"/>
          <w:lang w:eastAsia="pt-BR"/>
        </w:rPr>
        <w:t xml:space="preserve"> </w:t>
      </w:r>
      <w:r w:rsidRPr="0014137C">
        <w:rPr>
          <w:rFonts w:cs="Arial"/>
          <w:szCs w:val="18"/>
          <w:lang w:eastAsia="pt-BR"/>
        </w:rPr>
        <w:t>– Biomass concentration in the feed, wt%</w:t>
      </w:r>
      <w:r w:rsidRPr="0014137C">
        <w:rPr>
          <w:rFonts w:cs="Arial"/>
          <w:szCs w:val="18"/>
          <w:lang w:eastAsia="pt-BR"/>
        </w:rPr>
        <w:br/>
      </w:r>
      <m:oMath>
        <m:sSub>
          <m:sSubPr>
            <m:ctrlPr>
              <w:rPr>
                <w:rFonts w:ascii="Cambria Math" w:hAnsi="Cambria Math" w:cs="Arial"/>
                <w:szCs w:val="18"/>
                <w:lang w:val="pt-BR" w:eastAsia="pt-BR"/>
              </w:rPr>
            </m:ctrlPr>
          </m:sSubPr>
          <m:e>
            <m:r>
              <w:rPr>
                <w:rFonts w:ascii="Cambria Math" w:hAnsi="Cambria Math" w:cs="Arial"/>
                <w:szCs w:val="18"/>
                <w:lang w:val="pt-BR" w:eastAsia="pt-BR"/>
              </w:rPr>
              <m:t>H</m:t>
            </m:r>
          </m:e>
          <m:sub>
            <m:r>
              <w:rPr>
                <w:rFonts w:ascii="Cambria Math" w:hAnsi="Cambria Math" w:cs="Arial"/>
                <w:szCs w:val="18"/>
                <w:lang w:eastAsia="pt-BR"/>
              </w:rPr>
              <m:t>2</m:t>
            </m:r>
          </m:sub>
        </m:sSub>
      </m:oMath>
      <w:r w:rsidR="00F40B40" w:rsidRPr="00F40B40">
        <w:rPr>
          <w:rFonts w:cs="Arial"/>
          <w:szCs w:val="18"/>
          <w:lang w:eastAsia="pt-BR"/>
        </w:rPr>
        <w:t xml:space="preserve"> </w:t>
      </w:r>
      <w:r w:rsidRPr="0014137C">
        <w:rPr>
          <w:rFonts w:cs="Arial"/>
          <w:szCs w:val="18"/>
          <w:lang w:eastAsia="pt-BR"/>
        </w:rPr>
        <w:t>– Hydrogen</w:t>
      </w:r>
      <w:r w:rsidRPr="0014137C">
        <w:rPr>
          <w:rFonts w:cs="Arial"/>
          <w:szCs w:val="18"/>
          <w:lang w:eastAsia="pt-BR"/>
        </w:rPr>
        <w:br/>
      </w:r>
      <m:oMath>
        <m:r>
          <w:rPr>
            <w:rFonts w:ascii="Cambria Math" w:hAnsi="Cambria Math" w:cs="Arial"/>
            <w:szCs w:val="18"/>
            <w:lang w:val="pt-BR" w:eastAsia="pt-BR"/>
          </w:rPr>
          <m:t>CO</m:t>
        </m:r>
      </m:oMath>
      <w:r w:rsidR="00F40B40" w:rsidRPr="00F40B40">
        <w:rPr>
          <w:rFonts w:cs="Arial"/>
          <w:szCs w:val="18"/>
          <w:lang w:eastAsia="pt-BR"/>
        </w:rPr>
        <w:t xml:space="preserve"> </w:t>
      </w:r>
      <w:r w:rsidRPr="0014137C">
        <w:rPr>
          <w:rFonts w:cs="Arial"/>
          <w:szCs w:val="18"/>
          <w:lang w:eastAsia="pt-BR"/>
        </w:rPr>
        <w:t>– Carbon monoxide</w:t>
      </w:r>
      <w:r w:rsidRPr="0014137C">
        <w:rPr>
          <w:rFonts w:cs="Arial"/>
          <w:szCs w:val="18"/>
          <w:lang w:eastAsia="pt-BR"/>
        </w:rPr>
        <w:br/>
      </w:r>
      <m:oMath>
        <m:r>
          <w:rPr>
            <w:rFonts w:ascii="Cambria Math" w:hAnsi="Cambria Math" w:cs="Arial"/>
            <w:szCs w:val="18"/>
            <w:lang w:val="pt-BR" w:eastAsia="pt-BR"/>
          </w:rPr>
          <m:t>C</m:t>
        </m:r>
        <m:sSub>
          <m:sSubPr>
            <m:ctrlPr>
              <w:rPr>
                <w:rFonts w:ascii="Cambria Math" w:hAnsi="Cambria Math" w:cs="Arial"/>
                <w:szCs w:val="18"/>
                <w:lang w:val="pt-BR" w:eastAsia="pt-BR"/>
              </w:rPr>
            </m:ctrlPr>
          </m:sSubPr>
          <m:e>
            <m:r>
              <w:rPr>
                <w:rFonts w:ascii="Cambria Math" w:hAnsi="Cambria Math" w:cs="Arial"/>
                <w:szCs w:val="18"/>
                <w:lang w:val="pt-BR" w:eastAsia="pt-BR"/>
              </w:rPr>
              <m:t>O</m:t>
            </m:r>
          </m:e>
          <m:sub>
            <m:r>
              <w:rPr>
                <w:rFonts w:ascii="Cambria Math" w:hAnsi="Cambria Math" w:cs="Arial"/>
                <w:szCs w:val="18"/>
                <w:lang w:eastAsia="pt-BR"/>
              </w:rPr>
              <m:t>2</m:t>
            </m:r>
          </m:sub>
        </m:sSub>
      </m:oMath>
      <w:r w:rsidR="00F40B40" w:rsidRPr="00F40B40">
        <w:rPr>
          <w:rFonts w:cs="Arial"/>
          <w:szCs w:val="18"/>
          <w:lang w:eastAsia="pt-BR"/>
        </w:rPr>
        <w:t xml:space="preserve"> </w:t>
      </w:r>
      <w:r w:rsidRPr="0014137C">
        <w:rPr>
          <w:rFonts w:cs="Arial"/>
          <w:szCs w:val="18"/>
          <w:lang w:eastAsia="pt-BR"/>
        </w:rPr>
        <w:t>– Carbon dioxide</w:t>
      </w:r>
      <w:r w:rsidRPr="0014137C">
        <w:rPr>
          <w:rFonts w:cs="Arial"/>
          <w:szCs w:val="18"/>
          <w:lang w:eastAsia="pt-BR"/>
        </w:rPr>
        <w:br/>
      </w:r>
      <m:oMath>
        <m:r>
          <w:rPr>
            <w:rFonts w:ascii="Cambria Math" w:hAnsi="Cambria Math" w:cs="Arial"/>
            <w:szCs w:val="18"/>
            <w:lang w:val="pt-BR" w:eastAsia="pt-BR"/>
          </w:rPr>
          <m:t>C</m:t>
        </m:r>
        <m:sSub>
          <m:sSubPr>
            <m:ctrlPr>
              <w:rPr>
                <w:rFonts w:ascii="Cambria Math" w:hAnsi="Cambria Math" w:cs="Arial"/>
                <w:szCs w:val="18"/>
                <w:lang w:val="pt-BR" w:eastAsia="pt-BR"/>
              </w:rPr>
            </m:ctrlPr>
          </m:sSubPr>
          <m:e>
            <m:r>
              <w:rPr>
                <w:rFonts w:ascii="Cambria Math" w:hAnsi="Cambria Math" w:cs="Arial"/>
                <w:szCs w:val="18"/>
                <w:lang w:val="pt-BR" w:eastAsia="pt-BR"/>
              </w:rPr>
              <m:t>H</m:t>
            </m:r>
          </m:e>
          <m:sub>
            <m:r>
              <w:rPr>
                <w:rFonts w:ascii="Cambria Math" w:hAnsi="Cambria Math" w:cs="Arial"/>
                <w:szCs w:val="18"/>
                <w:lang w:eastAsia="pt-BR"/>
              </w:rPr>
              <m:t>4</m:t>
            </m:r>
          </m:sub>
        </m:sSub>
      </m:oMath>
      <w:r w:rsidR="00F40B40" w:rsidRPr="00F40B40">
        <w:rPr>
          <w:rFonts w:cs="Arial"/>
          <w:szCs w:val="18"/>
          <w:lang w:eastAsia="pt-BR"/>
        </w:rPr>
        <w:t xml:space="preserve"> </w:t>
      </w:r>
      <w:r w:rsidRPr="0014137C">
        <w:rPr>
          <w:rFonts w:cs="Arial"/>
          <w:szCs w:val="18"/>
          <w:lang w:eastAsia="pt-BR"/>
        </w:rPr>
        <w:t>– Methane</w:t>
      </w:r>
      <w:r w:rsidRPr="0014137C">
        <w:rPr>
          <w:rFonts w:cs="Arial"/>
          <w:szCs w:val="18"/>
          <w:lang w:eastAsia="pt-BR"/>
        </w:rPr>
        <w:br/>
      </w:r>
      <m:oMath>
        <m:sSub>
          <m:sSubPr>
            <m:ctrlPr>
              <w:rPr>
                <w:rFonts w:ascii="Cambria Math" w:hAnsi="Cambria Math" w:cs="Arial"/>
                <w:szCs w:val="18"/>
                <w:lang w:val="pt-BR" w:eastAsia="pt-BR"/>
              </w:rPr>
            </m:ctrlPr>
          </m:sSubPr>
          <m:e>
            <m:r>
              <w:rPr>
                <w:rFonts w:ascii="Cambria Math" w:hAnsi="Cambria Math" w:cs="Arial"/>
                <w:szCs w:val="18"/>
                <w:lang w:val="pt-BR" w:eastAsia="pt-BR"/>
              </w:rPr>
              <m:t>H</m:t>
            </m:r>
          </m:e>
          <m:sub>
            <m:r>
              <w:rPr>
                <w:rFonts w:ascii="Cambria Math" w:hAnsi="Cambria Math" w:cs="Arial"/>
                <w:szCs w:val="18"/>
                <w:lang w:eastAsia="pt-BR"/>
              </w:rPr>
              <m:t>2</m:t>
            </m:r>
          </m:sub>
        </m:sSub>
        <m:r>
          <w:rPr>
            <w:rFonts w:ascii="Cambria Math" w:hAnsi="Cambria Math" w:cs="Arial"/>
            <w:szCs w:val="18"/>
            <w:lang w:val="pt-BR" w:eastAsia="pt-BR"/>
          </w:rPr>
          <m:t>O</m:t>
        </m:r>
      </m:oMath>
      <w:r w:rsidR="00F40B40" w:rsidRPr="00F40B40">
        <w:rPr>
          <w:rFonts w:cs="Arial"/>
          <w:szCs w:val="18"/>
          <w:lang w:eastAsia="pt-BR"/>
        </w:rPr>
        <w:t xml:space="preserve"> </w:t>
      </w:r>
      <w:r w:rsidRPr="0014137C">
        <w:rPr>
          <w:rFonts w:cs="Arial"/>
          <w:szCs w:val="18"/>
          <w:lang w:eastAsia="pt-BR"/>
        </w:rPr>
        <w:t>– Water</w:t>
      </w:r>
      <w:r w:rsidRPr="0014137C">
        <w:br/>
      </w:r>
      <m:oMath>
        <m:r>
          <w:rPr>
            <w:rFonts w:ascii="Cambria Math" w:hAnsi="Cambria Math" w:cs="Arial"/>
            <w:szCs w:val="18"/>
            <w:lang w:eastAsia="pt-BR"/>
          </w:rPr>
          <m:t>i</m:t>
        </m:r>
      </m:oMath>
      <w:r w:rsidR="00F40B40">
        <w:rPr>
          <w:szCs w:val="18"/>
          <w:lang w:eastAsia="pt-BR"/>
        </w:rPr>
        <w:t xml:space="preserve"> </w:t>
      </w:r>
      <w:r w:rsidRPr="0014137C">
        <w:t>– Chemical species index</w:t>
      </w:r>
    </w:p>
    <w:p w14:paraId="459D05E6" w14:textId="77777777" w:rsidR="00600535" w:rsidRPr="0014137C" w:rsidRDefault="00600535" w:rsidP="00600535">
      <w:pPr>
        <w:pStyle w:val="CETAcknowledgementstitle"/>
      </w:pPr>
      <w:r w:rsidRPr="0014137C">
        <w:lastRenderedPageBreak/>
        <w:t>Acknowledgments</w:t>
      </w:r>
    </w:p>
    <w:p w14:paraId="33F8138F" w14:textId="1666F671" w:rsidR="00600535" w:rsidRPr="0014137C" w:rsidRDefault="00DE4657" w:rsidP="00600535">
      <w:pPr>
        <w:pStyle w:val="CETBodytext"/>
        <w:rPr>
          <w:lang w:val="en-GB"/>
        </w:rPr>
      </w:pPr>
      <w:r w:rsidRPr="0014137C">
        <w:rPr>
          <w:lang w:val="en-GB"/>
        </w:rPr>
        <w:t>We are grateful for the financial support from the National Agency of Petroleum, Natural Gas and Biofuels (ANP) through the ANP Human Resources Training Program for the Oil and Gas Sector (</w:t>
      </w:r>
      <w:r w:rsidRPr="0014137C">
        <w:rPr>
          <w:i/>
          <w:iCs/>
          <w:lang w:val="en-GB"/>
        </w:rPr>
        <w:t>PRH 54.1 - UFMA</w:t>
      </w:r>
      <w:r w:rsidRPr="0014137C">
        <w:rPr>
          <w:lang w:val="en-GB"/>
        </w:rPr>
        <w:t xml:space="preserve">) for funding the research fellowships of Maristela S. Monteles and Lucas P. Reis, </w:t>
      </w:r>
      <w:r w:rsidRPr="0014137C">
        <w:rPr>
          <w:i/>
          <w:iCs/>
          <w:lang w:val="en-GB"/>
        </w:rPr>
        <w:t>CNPq</w:t>
      </w:r>
      <w:r w:rsidRPr="0014137C">
        <w:rPr>
          <w:lang w:val="en-GB"/>
        </w:rPr>
        <w:t xml:space="preserve">  and </w:t>
      </w:r>
      <w:r w:rsidRPr="0014137C">
        <w:rPr>
          <w:i/>
          <w:iCs/>
          <w:lang w:val="en-GB"/>
        </w:rPr>
        <w:t>FAPEMA</w:t>
      </w:r>
      <w:r w:rsidRPr="0014137C">
        <w:rPr>
          <w:lang w:val="en-GB"/>
        </w:rPr>
        <w:t>.</w:t>
      </w:r>
    </w:p>
    <w:p w14:paraId="03507984" w14:textId="752A9AC2" w:rsidR="00600535" w:rsidRPr="0014137C" w:rsidRDefault="00600535" w:rsidP="006F070B">
      <w:pPr>
        <w:pStyle w:val="CETReference"/>
      </w:pPr>
      <w:r w:rsidRPr="0014137C">
        <w:t>References</w:t>
      </w:r>
    </w:p>
    <w:p w14:paraId="218837F8" w14:textId="185D88BB" w:rsidR="001B2FC2" w:rsidRPr="0014137C" w:rsidRDefault="001B2FC2" w:rsidP="001B2FC2">
      <w:pPr>
        <w:pStyle w:val="CETReferencetext"/>
      </w:pPr>
      <w:r w:rsidRPr="0014137C">
        <w:t>Antal M.J., Allen S.G., Schulman D., Xu X., Divilio R.J., 2000, Biomass gasification in supercritical water, Industrial &amp; Engineering Chemistry Research, 39, 4040–4053.</w:t>
      </w:r>
    </w:p>
    <w:p w14:paraId="53A167EC" w14:textId="7E7F2217" w:rsidR="001B2FC2" w:rsidRPr="0014137C" w:rsidRDefault="001B2FC2" w:rsidP="001B2FC2">
      <w:pPr>
        <w:pStyle w:val="CETReferencetext"/>
      </w:pPr>
      <w:r w:rsidRPr="0014137C">
        <w:t>Athira G., Bahurudeen A., Appari S., 2021, Thermochemical conversion of sugarcane bagasse: Composition, reaction kinetics, and characterisation of by-products, Sugar Tech, 23, 433–452.</w:t>
      </w:r>
    </w:p>
    <w:p w14:paraId="501CE400" w14:textId="524BF76B" w:rsidR="001B2FC2" w:rsidRPr="0014137C" w:rsidRDefault="001B2FC2" w:rsidP="001B2FC2">
      <w:pPr>
        <w:pStyle w:val="CETReferencetext"/>
      </w:pPr>
      <w:r w:rsidRPr="0014137C">
        <w:t>Barros T.V., Carregosa J.d.C., Wisniewski Jr A., Freitas A.C.D., Guirardello R., Ferreira-Pinto L., Bonfim-Rocha L., Jegatheesan V., Cardozo-Filho L., 2022, Assessment of black liquor hydrothermal treatment under sub- and supercritical conditions: Products distribution and economic perspectives, Chemosphere, 286, 131774.</w:t>
      </w:r>
    </w:p>
    <w:p w14:paraId="2C5BF670" w14:textId="256ECF9D" w:rsidR="001B2FC2" w:rsidRPr="0014137C" w:rsidRDefault="001B2FC2" w:rsidP="001B2FC2">
      <w:pPr>
        <w:pStyle w:val="CETReferencetext"/>
      </w:pPr>
      <w:r w:rsidRPr="0014137C">
        <w:t>Castello D., Fiori L., 2011, Supercritical water gasification of biomass: Thermodynamic constraints, Bioresource Technology, 102, 7574–7582.</w:t>
      </w:r>
    </w:p>
    <w:p w14:paraId="4B5B8783" w14:textId="1DE67869" w:rsidR="00707BE1" w:rsidRPr="0014137C" w:rsidRDefault="00707BE1" w:rsidP="00707BE1">
      <w:pPr>
        <w:pStyle w:val="CETReferencetext"/>
      </w:pPr>
      <w:r w:rsidRPr="0014137C">
        <w:t>Channiwala S.A., Parikh P.P., 2002, A unified correlation for estimating HHV of solid, liquid and gaseous fuels, Fuel, 81, 1051–1063.</w:t>
      </w:r>
    </w:p>
    <w:p w14:paraId="19D4F9FB" w14:textId="01F29E5C" w:rsidR="001B2FC2" w:rsidRPr="0014137C" w:rsidRDefault="001B2FC2" w:rsidP="001B2FC2">
      <w:pPr>
        <w:pStyle w:val="CETReferencetext"/>
      </w:pPr>
      <w:r w:rsidRPr="0014137C">
        <w:t>Costa Y.C.M.D., Coelho A.C.P.P., Santos Júnior J.M.D., Vidotti A.D.S., Freitas A.C.D., Guirardello R., 2025, Thermochemical valorization of açaí (Euterpe oleracea) seeds: A study using Gibbs energy minimization and entropy maximization methods, Chemical Engineering Transactions, 117, 943–948.</w:t>
      </w:r>
    </w:p>
    <w:p w14:paraId="42B80F45" w14:textId="37A8E73B" w:rsidR="001B2FC2" w:rsidRPr="0014137C" w:rsidRDefault="001B2FC2" w:rsidP="001B2FC2">
      <w:pPr>
        <w:pStyle w:val="CETReferencetext"/>
      </w:pPr>
      <w:r w:rsidRPr="0014137C">
        <w:t xml:space="preserve">da Silva M.D., Martins E.A., Moreira R.P.L., Rosa A.P., Borges A.C., 2025, Valorization of </w:t>
      </w:r>
      <w:r w:rsidRPr="0014137C">
        <w:rPr>
          <w:i/>
          <w:iCs/>
        </w:rPr>
        <w:t>Caryocar brasiliense</w:t>
      </w:r>
      <w:r w:rsidRPr="0014137C">
        <w:t xml:space="preserve"> byproducts: Microwave-assisted extraction of phenolics and material characterization for environmental and bioenergy applications, ACS Omega, 10 (48).</w:t>
      </w:r>
    </w:p>
    <w:p w14:paraId="58F41CBB" w14:textId="787E50E4" w:rsidR="001B2FC2" w:rsidRPr="0014137C" w:rsidRDefault="001B2FC2" w:rsidP="001B2FC2">
      <w:pPr>
        <w:pStyle w:val="CETReferencetext"/>
      </w:pPr>
      <w:r w:rsidRPr="0014137C">
        <w:t>dos Santos Junior J.M., de Freitas A.C.D., Mariano A.P., 2025, An AI-assisted thermodynamic equilibrium simulator: A case study on steam methane reforming in isothermal and adiabatic reactors, Processes, 13, 2508.</w:t>
      </w:r>
    </w:p>
    <w:p w14:paraId="7EFD7664" w14:textId="20F223F4" w:rsidR="001B2FC2" w:rsidRPr="0014137C" w:rsidRDefault="001B2FC2" w:rsidP="001B2FC2">
      <w:pPr>
        <w:pStyle w:val="CETReferencetext"/>
      </w:pPr>
      <w:r w:rsidRPr="0014137C">
        <w:t>Elliott D.C., Sealock L.J., Baker E.G., 2004, Chemical processing in high-pressure aqueous environments, Industrial &amp; Engineering Chemistry Research, 43, 1999–2012.</w:t>
      </w:r>
    </w:p>
    <w:p w14:paraId="792638B5" w14:textId="3FC5E276" w:rsidR="001B2FC2" w:rsidRPr="0014137C" w:rsidRDefault="001B2FC2" w:rsidP="001B2FC2">
      <w:pPr>
        <w:pStyle w:val="CETReferencetext"/>
      </w:pPr>
      <w:r w:rsidRPr="0014137C">
        <w:t>IPCC, 2022, Climate Change 2022: Mitigation of Climate Change, Cambridge University Press, Cambridge, UK.</w:t>
      </w:r>
    </w:p>
    <w:p w14:paraId="090F8254" w14:textId="042FC871" w:rsidR="001B2FC2" w:rsidRPr="0014137C" w:rsidRDefault="001B2FC2" w:rsidP="001B2FC2">
      <w:pPr>
        <w:pStyle w:val="CETReferencetext"/>
      </w:pPr>
      <w:r w:rsidRPr="0014137C">
        <w:t>Li H., Hu Y., Wang H., Han X., El-Sayed H., Zeng Y., Xu C.C., 2022, Supercritical water gasification of lignocellulosic biomass: Development of a general kinetic model for prediction of gas yield, Chemical Engineering Journal, 433, 133618.</w:t>
      </w:r>
    </w:p>
    <w:p w14:paraId="44F1BB54" w14:textId="59AAE58A" w:rsidR="001B2FC2" w:rsidRPr="0014137C" w:rsidRDefault="001B2FC2" w:rsidP="001B2FC2">
      <w:pPr>
        <w:pStyle w:val="CETReferencetext"/>
      </w:pPr>
      <w:r w:rsidRPr="0014137C">
        <w:t>Maia A.C., dos Santos Junior J.M., Vidotti A.D., Freitas A.C., Guirardello R., 2024, Thermochemical conversion of lignocellulosic biomass: A thermodynamic study based on isothermal and adiabatic reactors, Chemical Engineering Transactions, 109, 199–204.</w:t>
      </w:r>
    </w:p>
    <w:p w14:paraId="5A0EFDFE" w14:textId="08339B35" w:rsidR="001B2FC2" w:rsidRPr="0014137C" w:rsidRDefault="001B2FC2" w:rsidP="001B2FC2">
      <w:pPr>
        <w:pStyle w:val="CETReferencetext"/>
      </w:pPr>
      <w:r w:rsidRPr="0014137C">
        <w:t>Mansaray K.G., Ghaly A.E., 1998, Thermal degradation of rice husks in nitrogen atmosphere, Bioresource Technology, 65, 13–20.</w:t>
      </w:r>
    </w:p>
    <w:p w14:paraId="2447BF4A" w14:textId="0C32EA92" w:rsidR="008775C8" w:rsidRDefault="001B2FC2" w:rsidP="001B2FC2">
      <w:pPr>
        <w:pStyle w:val="CETReferencetext"/>
      </w:pPr>
      <w:r w:rsidRPr="0014137C">
        <w:t>Sofán-Germán S.J., Acuña-Izquierdo F.L., Rhenals-Julio J.D., Cacua Madero K.P., Mendoza-Fandiño J.M., 2025, Thermochemical characterization of coconut husk, rice husk, and mineral coal: A comparative assessment for energy applications, Biomass, 5, 77.</w:t>
      </w:r>
    </w:p>
    <w:sectPr w:rsidR="008775C8"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D6C0B" w14:textId="77777777" w:rsidR="006B5182" w:rsidRDefault="006B5182" w:rsidP="004F5E36">
      <w:r>
        <w:separator/>
      </w:r>
    </w:p>
  </w:endnote>
  <w:endnote w:type="continuationSeparator" w:id="0">
    <w:p w14:paraId="639F7215" w14:textId="77777777" w:rsidR="006B5182" w:rsidRDefault="006B518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5BC753" w14:textId="77777777" w:rsidR="006B5182" w:rsidRDefault="006B5182" w:rsidP="004F5E36">
      <w:r>
        <w:separator/>
      </w:r>
    </w:p>
  </w:footnote>
  <w:footnote w:type="continuationSeparator" w:id="0">
    <w:p w14:paraId="2EB9EB61" w14:textId="77777777" w:rsidR="006B5182" w:rsidRDefault="006B5182" w:rsidP="004F5E3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016774EA"/>
    <w:multiLevelType w:val="multilevel"/>
    <w:tmpl w:val="80081A6A"/>
    <w:lvl w:ilvl="0">
      <w:start w:val="3"/>
      <w:numFmt w:val="decimal"/>
      <w:lvlText w:val="%1."/>
      <w:lvlJc w:val="left"/>
      <w:pPr>
        <w:ind w:left="360" w:hanging="360"/>
      </w:pPr>
      <w:rPr>
        <w:rFonts w:hint="default"/>
      </w:rPr>
    </w:lvl>
    <w:lvl w:ilvl="1">
      <w:start w:val="3"/>
      <w:numFmt w:val="decimal"/>
      <w:pStyle w:val="CETheadingx"/>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DCA3888"/>
    <w:multiLevelType w:val="hybridMultilevel"/>
    <w:tmpl w:val="9B6E4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5503D2"/>
    <w:multiLevelType w:val="multilevel"/>
    <w:tmpl w:val="719CFA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20"/>
  </w:num>
  <w:num w:numId="13">
    <w:abstractNumId w:val="15"/>
  </w:num>
  <w:num w:numId="14">
    <w:abstractNumId w:val="21"/>
  </w:num>
  <w:num w:numId="15">
    <w:abstractNumId w:val="23"/>
  </w:num>
  <w:num w:numId="16">
    <w:abstractNumId w:val="22"/>
  </w:num>
  <w:num w:numId="17">
    <w:abstractNumId w:val="14"/>
  </w:num>
  <w:num w:numId="18">
    <w:abstractNumId w:val="15"/>
    <w:lvlOverride w:ilvl="0">
      <w:startOverride w:val="1"/>
    </w:lvlOverride>
  </w:num>
  <w:num w:numId="19">
    <w:abstractNumId w:val="19"/>
  </w:num>
  <w:num w:numId="20">
    <w:abstractNumId w:val="18"/>
  </w:num>
  <w:num w:numId="21">
    <w:abstractNumId w:val="17"/>
  </w:num>
  <w:num w:numId="22">
    <w:abstractNumId w:val="16"/>
  </w:num>
  <w:num w:numId="23">
    <w:abstractNumId w:val="11"/>
  </w:num>
  <w:num w:numId="24">
    <w:abstractNumId w:val="1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61"/>
    <w:rsid w:val="00005884"/>
    <w:rsid w:val="00005A19"/>
    <w:rsid w:val="000117CB"/>
    <w:rsid w:val="000121BB"/>
    <w:rsid w:val="00012A96"/>
    <w:rsid w:val="0003148D"/>
    <w:rsid w:val="00031EEC"/>
    <w:rsid w:val="000438EB"/>
    <w:rsid w:val="00051566"/>
    <w:rsid w:val="000562A9"/>
    <w:rsid w:val="000572A6"/>
    <w:rsid w:val="00060206"/>
    <w:rsid w:val="00062A9A"/>
    <w:rsid w:val="00065058"/>
    <w:rsid w:val="00086C39"/>
    <w:rsid w:val="000A03B2"/>
    <w:rsid w:val="000B5318"/>
    <w:rsid w:val="000D0268"/>
    <w:rsid w:val="000D34BE"/>
    <w:rsid w:val="000D5871"/>
    <w:rsid w:val="000E102F"/>
    <w:rsid w:val="000E2704"/>
    <w:rsid w:val="000E36F1"/>
    <w:rsid w:val="000E3A73"/>
    <w:rsid w:val="000E414A"/>
    <w:rsid w:val="000E75FD"/>
    <w:rsid w:val="000F093C"/>
    <w:rsid w:val="000F787B"/>
    <w:rsid w:val="00101F02"/>
    <w:rsid w:val="001138F0"/>
    <w:rsid w:val="0012091F"/>
    <w:rsid w:val="00121FD4"/>
    <w:rsid w:val="00124AAD"/>
    <w:rsid w:val="00126176"/>
    <w:rsid w:val="00126BC2"/>
    <w:rsid w:val="001308B6"/>
    <w:rsid w:val="0013121F"/>
    <w:rsid w:val="0013122B"/>
    <w:rsid w:val="00131FE6"/>
    <w:rsid w:val="0013263F"/>
    <w:rsid w:val="001331DF"/>
    <w:rsid w:val="001333D2"/>
    <w:rsid w:val="00134DE4"/>
    <w:rsid w:val="0014034D"/>
    <w:rsid w:val="00140FE3"/>
    <w:rsid w:val="0014137C"/>
    <w:rsid w:val="00144D16"/>
    <w:rsid w:val="0014609A"/>
    <w:rsid w:val="00146DE4"/>
    <w:rsid w:val="00150E59"/>
    <w:rsid w:val="00152DE3"/>
    <w:rsid w:val="00164CF9"/>
    <w:rsid w:val="001667A6"/>
    <w:rsid w:val="00167ACC"/>
    <w:rsid w:val="00184AD6"/>
    <w:rsid w:val="001A4AF7"/>
    <w:rsid w:val="001B0349"/>
    <w:rsid w:val="001B1E93"/>
    <w:rsid w:val="001B2CE0"/>
    <w:rsid w:val="001B2FC2"/>
    <w:rsid w:val="001B65C1"/>
    <w:rsid w:val="001B73E7"/>
    <w:rsid w:val="001C260F"/>
    <w:rsid w:val="001C33F1"/>
    <w:rsid w:val="001C684B"/>
    <w:rsid w:val="001D0CFB"/>
    <w:rsid w:val="001D21AF"/>
    <w:rsid w:val="001D29BE"/>
    <w:rsid w:val="001D3615"/>
    <w:rsid w:val="001D53FC"/>
    <w:rsid w:val="001F14DF"/>
    <w:rsid w:val="001F42A5"/>
    <w:rsid w:val="001F7B9D"/>
    <w:rsid w:val="00201C93"/>
    <w:rsid w:val="002068A1"/>
    <w:rsid w:val="002224B4"/>
    <w:rsid w:val="00240B19"/>
    <w:rsid w:val="0024115B"/>
    <w:rsid w:val="002447EF"/>
    <w:rsid w:val="00251550"/>
    <w:rsid w:val="00262A4A"/>
    <w:rsid w:val="00263B05"/>
    <w:rsid w:val="0026494B"/>
    <w:rsid w:val="0027221A"/>
    <w:rsid w:val="00275B61"/>
    <w:rsid w:val="00280FAF"/>
    <w:rsid w:val="00281A2D"/>
    <w:rsid w:val="00282656"/>
    <w:rsid w:val="00284BE8"/>
    <w:rsid w:val="00296B83"/>
    <w:rsid w:val="002B4015"/>
    <w:rsid w:val="002B5C01"/>
    <w:rsid w:val="002B78CE"/>
    <w:rsid w:val="002C2FB6"/>
    <w:rsid w:val="002E5FA7"/>
    <w:rsid w:val="002F200A"/>
    <w:rsid w:val="002F3309"/>
    <w:rsid w:val="003008CE"/>
    <w:rsid w:val="003009B7"/>
    <w:rsid w:val="00300E56"/>
    <w:rsid w:val="0030152C"/>
    <w:rsid w:val="0030469C"/>
    <w:rsid w:val="00321CA6"/>
    <w:rsid w:val="00323763"/>
    <w:rsid w:val="00323C5F"/>
    <w:rsid w:val="00334C09"/>
    <w:rsid w:val="00353311"/>
    <w:rsid w:val="003575FE"/>
    <w:rsid w:val="00366F0B"/>
    <w:rsid w:val="003723D4"/>
    <w:rsid w:val="00381905"/>
    <w:rsid w:val="00384889"/>
    <w:rsid w:val="00384CC8"/>
    <w:rsid w:val="00386F4A"/>
    <w:rsid w:val="003871FD"/>
    <w:rsid w:val="003A1E30"/>
    <w:rsid w:val="003A2829"/>
    <w:rsid w:val="003A7D1C"/>
    <w:rsid w:val="003B053E"/>
    <w:rsid w:val="003B0ACE"/>
    <w:rsid w:val="003B304B"/>
    <w:rsid w:val="003B3146"/>
    <w:rsid w:val="003B4EA5"/>
    <w:rsid w:val="003B7F95"/>
    <w:rsid w:val="003D1E02"/>
    <w:rsid w:val="003D34FA"/>
    <w:rsid w:val="003F015E"/>
    <w:rsid w:val="00400414"/>
    <w:rsid w:val="00402AF5"/>
    <w:rsid w:val="00407D50"/>
    <w:rsid w:val="00410C2B"/>
    <w:rsid w:val="0041446B"/>
    <w:rsid w:val="004339B9"/>
    <w:rsid w:val="0044071E"/>
    <w:rsid w:val="0044329C"/>
    <w:rsid w:val="00453E24"/>
    <w:rsid w:val="00457456"/>
    <w:rsid w:val="004577FE"/>
    <w:rsid w:val="00457B9C"/>
    <w:rsid w:val="0046164A"/>
    <w:rsid w:val="00462843"/>
    <w:rsid w:val="004628D2"/>
    <w:rsid w:val="00462DCD"/>
    <w:rsid w:val="004648AD"/>
    <w:rsid w:val="004703A9"/>
    <w:rsid w:val="004760DE"/>
    <w:rsid w:val="004763D7"/>
    <w:rsid w:val="00493EF4"/>
    <w:rsid w:val="004A004E"/>
    <w:rsid w:val="004A24CF"/>
    <w:rsid w:val="004A4FE1"/>
    <w:rsid w:val="004A5E57"/>
    <w:rsid w:val="004B3161"/>
    <w:rsid w:val="004C194F"/>
    <w:rsid w:val="004C3D1D"/>
    <w:rsid w:val="004C3D84"/>
    <w:rsid w:val="004C7913"/>
    <w:rsid w:val="004C7D1F"/>
    <w:rsid w:val="004D3689"/>
    <w:rsid w:val="004E4DD6"/>
    <w:rsid w:val="004F5E36"/>
    <w:rsid w:val="00507B47"/>
    <w:rsid w:val="00507BEF"/>
    <w:rsid w:val="00507CC9"/>
    <w:rsid w:val="005119A5"/>
    <w:rsid w:val="005278B7"/>
    <w:rsid w:val="00532016"/>
    <w:rsid w:val="005346C8"/>
    <w:rsid w:val="00543E7D"/>
    <w:rsid w:val="00547A68"/>
    <w:rsid w:val="005531C9"/>
    <w:rsid w:val="00554B0D"/>
    <w:rsid w:val="00570C43"/>
    <w:rsid w:val="0058321F"/>
    <w:rsid w:val="00592274"/>
    <w:rsid w:val="0059567F"/>
    <w:rsid w:val="005B2110"/>
    <w:rsid w:val="005B3AC5"/>
    <w:rsid w:val="005B61E6"/>
    <w:rsid w:val="005C6549"/>
    <w:rsid w:val="005C77E1"/>
    <w:rsid w:val="005D668A"/>
    <w:rsid w:val="005D6A2F"/>
    <w:rsid w:val="005E0592"/>
    <w:rsid w:val="005E1A82"/>
    <w:rsid w:val="005E5A28"/>
    <w:rsid w:val="005E794C"/>
    <w:rsid w:val="005F0A28"/>
    <w:rsid w:val="005F0E5E"/>
    <w:rsid w:val="005F1757"/>
    <w:rsid w:val="00600535"/>
    <w:rsid w:val="00606477"/>
    <w:rsid w:val="00610CD6"/>
    <w:rsid w:val="00620DEE"/>
    <w:rsid w:val="00621F92"/>
    <w:rsid w:val="0062280A"/>
    <w:rsid w:val="006231E1"/>
    <w:rsid w:val="00625639"/>
    <w:rsid w:val="00627776"/>
    <w:rsid w:val="00631B33"/>
    <w:rsid w:val="0064184D"/>
    <w:rsid w:val="006422CC"/>
    <w:rsid w:val="00651D18"/>
    <w:rsid w:val="00660E3E"/>
    <w:rsid w:val="00662E74"/>
    <w:rsid w:val="00664F9F"/>
    <w:rsid w:val="006727AB"/>
    <w:rsid w:val="00680C23"/>
    <w:rsid w:val="00683E23"/>
    <w:rsid w:val="00693766"/>
    <w:rsid w:val="006A3281"/>
    <w:rsid w:val="006B4888"/>
    <w:rsid w:val="006B5182"/>
    <w:rsid w:val="006C2E45"/>
    <w:rsid w:val="006C359C"/>
    <w:rsid w:val="006C5579"/>
    <w:rsid w:val="006D0F8A"/>
    <w:rsid w:val="006D6E8B"/>
    <w:rsid w:val="006D7209"/>
    <w:rsid w:val="006E17F2"/>
    <w:rsid w:val="006E2412"/>
    <w:rsid w:val="006E33CB"/>
    <w:rsid w:val="006E5A4A"/>
    <w:rsid w:val="006E737D"/>
    <w:rsid w:val="006F070B"/>
    <w:rsid w:val="006F6A73"/>
    <w:rsid w:val="00705C88"/>
    <w:rsid w:val="00707BE1"/>
    <w:rsid w:val="00707DD1"/>
    <w:rsid w:val="00713973"/>
    <w:rsid w:val="00717EEA"/>
    <w:rsid w:val="00720A24"/>
    <w:rsid w:val="00732386"/>
    <w:rsid w:val="0073514D"/>
    <w:rsid w:val="007447F3"/>
    <w:rsid w:val="007456DA"/>
    <w:rsid w:val="0075499F"/>
    <w:rsid w:val="007617CC"/>
    <w:rsid w:val="007640ED"/>
    <w:rsid w:val="007661C8"/>
    <w:rsid w:val="0077098D"/>
    <w:rsid w:val="00776BD4"/>
    <w:rsid w:val="00780CE7"/>
    <w:rsid w:val="00785BF9"/>
    <w:rsid w:val="00785E2D"/>
    <w:rsid w:val="00792980"/>
    <w:rsid w:val="007931FA"/>
    <w:rsid w:val="007A4861"/>
    <w:rsid w:val="007A7BBA"/>
    <w:rsid w:val="007B0C50"/>
    <w:rsid w:val="007B48F9"/>
    <w:rsid w:val="007C1A43"/>
    <w:rsid w:val="007D0951"/>
    <w:rsid w:val="007F27C8"/>
    <w:rsid w:val="0080013E"/>
    <w:rsid w:val="00804589"/>
    <w:rsid w:val="00810061"/>
    <w:rsid w:val="00813288"/>
    <w:rsid w:val="008156B1"/>
    <w:rsid w:val="008168FC"/>
    <w:rsid w:val="00830996"/>
    <w:rsid w:val="008314D7"/>
    <w:rsid w:val="008345F1"/>
    <w:rsid w:val="008458B4"/>
    <w:rsid w:val="00862F9C"/>
    <w:rsid w:val="00865B07"/>
    <w:rsid w:val="008667EA"/>
    <w:rsid w:val="00875EE4"/>
    <w:rsid w:val="0087637F"/>
    <w:rsid w:val="0087754E"/>
    <w:rsid w:val="008775C8"/>
    <w:rsid w:val="00886612"/>
    <w:rsid w:val="00892AD5"/>
    <w:rsid w:val="00896E9E"/>
    <w:rsid w:val="008A139B"/>
    <w:rsid w:val="008A1512"/>
    <w:rsid w:val="008C03CC"/>
    <w:rsid w:val="008D32B9"/>
    <w:rsid w:val="008D433B"/>
    <w:rsid w:val="008D4A16"/>
    <w:rsid w:val="008E209A"/>
    <w:rsid w:val="008E3019"/>
    <w:rsid w:val="008E45BC"/>
    <w:rsid w:val="008E566E"/>
    <w:rsid w:val="00900358"/>
    <w:rsid w:val="0090161A"/>
    <w:rsid w:val="00901EB6"/>
    <w:rsid w:val="009041F8"/>
    <w:rsid w:val="00904C62"/>
    <w:rsid w:val="00905E59"/>
    <w:rsid w:val="0090733F"/>
    <w:rsid w:val="0091151D"/>
    <w:rsid w:val="0091468C"/>
    <w:rsid w:val="00922BA8"/>
    <w:rsid w:val="00924DAC"/>
    <w:rsid w:val="00927058"/>
    <w:rsid w:val="0093041C"/>
    <w:rsid w:val="00942750"/>
    <w:rsid w:val="009450CE"/>
    <w:rsid w:val="009459BB"/>
    <w:rsid w:val="00947179"/>
    <w:rsid w:val="0095164B"/>
    <w:rsid w:val="00954090"/>
    <w:rsid w:val="009573E7"/>
    <w:rsid w:val="00963E05"/>
    <w:rsid w:val="00964A45"/>
    <w:rsid w:val="00967843"/>
    <w:rsid w:val="00967D54"/>
    <w:rsid w:val="00971028"/>
    <w:rsid w:val="00974546"/>
    <w:rsid w:val="00975699"/>
    <w:rsid w:val="0098202A"/>
    <w:rsid w:val="00990CF3"/>
    <w:rsid w:val="00993B84"/>
    <w:rsid w:val="00996483"/>
    <w:rsid w:val="00996F5A"/>
    <w:rsid w:val="009A16EA"/>
    <w:rsid w:val="009B041A"/>
    <w:rsid w:val="009C37C3"/>
    <w:rsid w:val="009C3ACE"/>
    <w:rsid w:val="009C7C86"/>
    <w:rsid w:val="009D2FF7"/>
    <w:rsid w:val="009D766A"/>
    <w:rsid w:val="009E1939"/>
    <w:rsid w:val="009E2095"/>
    <w:rsid w:val="009E7884"/>
    <w:rsid w:val="009E788A"/>
    <w:rsid w:val="009F0E08"/>
    <w:rsid w:val="00A079AE"/>
    <w:rsid w:val="00A1763D"/>
    <w:rsid w:val="00A17CEC"/>
    <w:rsid w:val="00A26CBB"/>
    <w:rsid w:val="00A27EF0"/>
    <w:rsid w:val="00A36367"/>
    <w:rsid w:val="00A41A0B"/>
    <w:rsid w:val="00A42361"/>
    <w:rsid w:val="00A435BE"/>
    <w:rsid w:val="00A444B8"/>
    <w:rsid w:val="00A50B20"/>
    <w:rsid w:val="00A51390"/>
    <w:rsid w:val="00A60D13"/>
    <w:rsid w:val="00A7223D"/>
    <w:rsid w:val="00A72745"/>
    <w:rsid w:val="00A76EFC"/>
    <w:rsid w:val="00A87D50"/>
    <w:rsid w:val="00A91010"/>
    <w:rsid w:val="00A94587"/>
    <w:rsid w:val="00A97F29"/>
    <w:rsid w:val="00AA702E"/>
    <w:rsid w:val="00AA7D26"/>
    <w:rsid w:val="00AB0964"/>
    <w:rsid w:val="00AB5011"/>
    <w:rsid w:val="00AC7368"/>
    <w:rsid w:val="00AD0278"/>
    <w:rsid w:val="00AD16B9"/>
    <w:rsid w:val="00AD600C"/>
    <w:rsid w:val="00AE377D"/>
    <w:rsid w:val="00AE4CE9"/>
    <w:rsid w:val="00AF0EBA"/>
    <w:rsid w:val="00AF1851"/>
    <w:rsid w:val="00AF381F"/>
    <w:rsid w:val="00AF61BF"/>
    <w:rsid w:val="00B02C8A"/>
    <w:rsid w:val="00B04627"/>
    <w:rsid w:val="00B061D8"/>
    <w:rsid w:val="00B17FBD"/>
    <w:rsid w:val="00B315A6"/>
    <w:rsid w:val="00B31813"/>
    <w:rsid w:val="00B33365"/>
    <w:rsid w:val="00B35358"/>
    <w:rsid w:val="00B57B36"/>
    <w:rsid w:val="00B57E6F"/>
    <w:rsid w:val="00B8686D"/>
    <w:rsid w:val="00B93F69"/>
    <w:rsid w:val="00BB1DDC"/>
    <w:rsid w:val="00BC30C9"/>
    <w:rsid w:val="00BD077D"/>
    <w:rsid w:val="00BE0248"/>
    <w:rsid w:val="00BE3E58"/>
    <w:rsid w:val="00C01616"/>
    <w:rsid w:val="00C0162B"/>
    <w:rsid w:val="00C068ED"/>
    <w:rsid w:val="00C1038A"/>
    <w:rsid w:val="00C118F1"/>
    <w:rsid w:val="00C208E9"/>
    <w:rsid w:val="00C22E0C"/>
    <w:rsid w:val="00C345B1"/>
    <w:rsid w:val="00C40142"/>
    <w:rsid w:val="00C52C3C"/>
    <w:rsid w:val="00C57182"/>
    <w:rsid w:val="00C57863"/>
    <w:rsid w:val="00C57D63"/>
    <w:rsid w:val="00C640AF"/>
    <w:rsid w:val="00C65085"/>
    <w:rsid w:val="00C655FD"/>
    <w:rsid w:val="00C75407"/>
    <w:rsid w:val="00C841C6"/>
    <w:rsid w:val="00C870A8"/>
    <w:rsid w:val="00C9264C"/>
    <w:rsid w:val="00C94434"/>
    <w:rsid w:val="00CA0D75"/>
    <w:rsid w:val="00CA1C95"/>
    <w:rsid w:val="00CA5A9C"/>
    <w:rsid w:val="00CB07DD"/>
    <w:rsid w:val="00CC4C20"/>
    <w:rsid w:val="00CD3517"/>
    <w:rsid w:val="00CD5FE2"/>
    <w:rsid w:val="00CE7619"/>
    <w:rsid w:val="00CE7C68"/>
    <w:rsid w:val="00D02B4C"/>
    <w:rsid w:val="00D040C4"/>
    <w:rsid w:val="00D1389C"/>
    <w:rsid w:val="00D20AD1"/>
    <w:rsid w:val="00D2582C"/>
    <w:rsid w:val="00D363F5"/>
    <w:rsid w:val="00D46B7E"/>
    <w:rsid w:val="00D53AE6"/>
    <w:rsid w:val="00D57C84"/>
    <w:rsid w:val="00D6057D"/>
    <w:rsid w:val="00D668DE"/>
    <w:rsid w:val="00D70813"/>
    <w:rsid w:val="00D71640"/>
    <w:rsid w:val="00D836C5"/>
    <w:rsid w:val="00D84576"/>
    <w:rsid w:val="00DA1399"/>
    <w:rsid w:val="00DA24C6"/>
    <w:rsid w:val="00DA4D7B"/>
    <w:rsid w:val="00DC48CB"/>
    <w:rsid w:val="00DD271C"/>
    <w:rsid w:val="00DE264A"/>
    <w:rsid w:val="00DE4657"/>
    <w:rsid w:val="00DE778F"/>
    <w:rsid w:val="00DF0B22"/>
    <w:rsid w:val="00DF1EBF"/>
    <w:rsid w:val="00DF5072"/>
    <w:rsid w:val="00E01BA6"/>
    <w:rsid w:val="00E02D18"/>
    <w:rsid w:val="00E041E7"/>
    <w:rsid w:val="00E07714"/>
    <w:rsid w:val="00E17587"/>
    <w:rsid w:val="00E20D79"/>
    <w:rsid w:val="00E23CA1"/>
    <w:rsid w:val="00E278EC"/>
    <w:rsid w:val="00E409A8"/>
    <w:rsid w:val="00E47D61"/>
    <w:rsid w:val="00E50C12"/>
    <w:rsid w:val="00E56A90"/>
    <w:rsid w:val="00E65B91"/>
    <w:rsid w:val="00E7209D"/>
    <w:rsid w:val="00E72EAD"/>
    <w:rsid w:val="00E77223"/>
    <w:rsid w:val="00E8528B"/>
    <w:rsid w:val="00E85B94"/>
    <w:rsid w:val="00E86BF4"/>
    <w:rsid w:val="00E978D0"/>
    <w:rsid w:val="00EA3EF9"/>
    <w:rsid w:val="00EA4613"/>
    <w:rsid w:val="00EA7F91"/>
    <w:rsid w:val="00EB1523"/>
    <w:rsid w:val="00EC0E49"/>
    <w:rsid w:val="00EC101F"/>
    <w:rsid w:val="00EC1D9F"/>
    <w:rsid w:val="00EE0131"/>
    <w:rsid w:val="00EE17B0"/>
    <w:rsid w:val="00EF06D9"/>
    <w:rsid w:val="00EF0982"/>
    <w:rsid w:val="00F03557"/>
    <w:rsid w:val="00F126A5"/>
    <w:rsid w:val="00F22B1D"/>
    <w:rsid w:val="00F3049E"/>
    <w:rsid w:val="00F30C64"/>
    <w:rsid w:val="00F32BA2"/>
    <w:rsid w:val="00F32CDB"/>
    <w:rsid w:val="00F3348F"/>
    <w:rsid w:val="00F371B6"/>
    <w:rsid w:val="00F37280"/>
    <w:rsid w:val="00F37C7B"/>
    <w:rsid w:val="00F40B40"/>
    <w:rsid w:val="00F41EE4"/>
    <w:rsid w:val="00F565FE"/>
    <w:rsid w:val="00F633A0"/>
    <w:rsid w:val="00F63A70"/>
    <w:rsid w:val="00F63D8C"/>
    <w:rsid w:val="00F7534E"/>
    <w:rsid w:val="00F93EDF"/>
    <w:rsid w:val="00FA1802"/>
    <w:rsid w:val="00FA21D0"/>
    <w:rsid w:val="00FA5F5F"/>
    <w:rsid w:val="00FB730C"/>
    <w:rsid w:val="00FC2695"/>
    <w:rsid w:val="00FC3E03"/>
    <w:rsid w:val="00FC3FC1"/>
    <w:rsid w:val="00FF0345"/>
    <w:rsid w:val="00FF0E1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8156B1"/>
    <w:pPr>
      <w:keepNext/>
      <w:numPr>
        <w:ilvl w:val="1"/>
        <w:numId w:val="25"/>
      </w:numPr>
      <w:suppressAutoHyphens/>
      <w:spacing w:before="120" w:after="120" w:line="240" w:lineRule="auto"/>
      <w:ind w:left="357" w:hanging="357"/>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8156B1"/>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grafodaLista">
    <w:name w:val="List Paragraph"/>
    <w:basedOn w:val="Normal"/>
    <w:uiPriority w:val="34"/>
    <w:rsid w:val="00280FAF"/>
    <w:pPr>
      <w:ind w:left="720"/>
      <w:contextualSpacing/>
    </w:pPr>
  </w:style>
  <w:style w:type="character" w:customStyle="1" w:styleId="gmail-apple-converted-space">
    <w:name w:val="gmail-apple-converted-space"/>
    <w:basedOn w:val="Fontepargpadro"/>
    <w:rsid w:val="00005A19"/>
  </w:style>
  <w:style w:type="character" w:styleId="Forte">
    <w:name w:val="Strong"/>
    <w:basedOn w:val="Fontepargpadro"/>
    <w:uiPriority w:val="22"/>
    <w:qFormat/>
    <w:rsid w:val="00AF381F"/>
    <w:rPr>
      <w:b/>
      <w:bCs/>
    </w:rPr>
  </w:style>
  <w:style w:type="character" w:styleId="nfase">
    <w:name w:val="Emphasis"/>
    <w:basedOn w:val="Fontepargpadro"/>
    <w:uiPriority w:val="20"/>
    <w:qFormat/>
    <w:rsid w:val="00A36367"/>
    <w:rPr>
      <w:i/>
      <w:iCs/>
    </w:rPr>
  </w:style>
  <w:style w:type="character" w:customStyle="1" w:styleId="UnresolvedMention">
    <w:name w:val="Unresolved Mention"/>
    <w:basedOn w:val="Fontepargpadro"/>
    <w:uiPriority w:val="99"/>
    <w:semiHidden/>
    <w:unhideWhenUsed/>
    <w:rsid w:val="00785E2D"/>
    <w:rPr>
      <w:color w:val="605E5C"/>
      <w:shd w:val="clear" w:color="auto" w:fill="E1DFDD"/>
    </w:rPr>
  </w:style>
  <w:style w:type="character" w:styleId="TextodoEspaoReservado">
    <w:name w:val="Placeholder Text"/>
    <w:basedOn w:val="Fontepargpadro"/>
    <w:uiPriority w:val="99"/>
    <w:semiHidden/>
    <w:rsid w:val="004C7D1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E5364-FD30-4CAA-80DC-5D366876A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3720</Words>
  <Characters>20092</Characters>
  <Application>Microsoft Office Word</Application>
  <DocSecurity>0</DocSecurity>
  <Lines>167</Lines>
  <Paragraphs>47</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Reginaldo</cp:lastModifiedBy>
  <cp:revision>2</cp:revision>
  <cp:lastPrinted>2015-05-12T18:31:00Z</cp:lastPrinted>
  <dcterms:created xsi:type="dcterms:W3CDTF">2026-03-25T20:12:00Z</dcterms:created>
  <dcterms:modified xsi:type="dcterms:W3CDTF">2026-03-25T20:12:00Z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